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2A3A" w14:textId="77777777" w:rsidR="00105C7C" w:rsidRDefault="00105C7C" w:rsidP="00105C7C">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105C7C" w:rsidRPr="002B311C" w14:paraId="2FD1E31E" w14:textId="77777777" w:rsidTr="003C3B30">
        <w:trPr>
          <w:trHeight w:val="652"/>
          <w:jc w:val="center"/>
        </w:trPr>
        <w:tc>
          <w:tcPr>
            <w:tcW w:w="3335" w:type="dxa"/>
            <w:tcBorders>
              <w:right w:val="single" w:sz="4" w:space="0" w:color="44546A" w:themeColor="text2"/>
            </w:tcBorders>
            <w:shd w:val="clear" w:color="auto" w:fill="1F3864" w:themeFill="accent1" w:themeFillShade="80"/>
          </w:tcPr>
          <w:p w14:paraId="44D1E26A" w14:textId="77777777" w:rsidR="00105C7C" w:rsidRDefault="00105C7C" w:rsidP="003C3B30">
            <w:pPr>
              <w:jc w:val="center"/>
              <w:rPr>
                <w:rFonts w:cs="Arial"/>
                <w:color w:val="FFFFFF" w:themeColor="background1"/>
                <w:sz w:val="32"/>
                <w:szCs w:val="32"/>
                <w:shd w:val="clear" w:color="auto" w:fill="1F3864" w:themeFill="accent1" w:themeFillShade="80"/>
                <w:lang w:val="en-US"/>
              </w:rPr>
            </w:pPr>
          </w:p>
          <w:p w14:paraId="42E7D35A" w14:textId="3352A012" w:rsidR="00105C7C" w:rsidRPr="00906B87" w:rsidRDefault="00105C7C" w:rsidP="003C3B30">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Pr>
                <w:rFonts w:cs="Arial"/>
                <w:color w:val="FFFFFF" w:themeColor="background1"/>
                <w:sz w:val="32"/>
                <w:szCs w:val="32"/>
                <w:shd w:val="clear" w:color="auto" w:fill="1F3864" w:themeFill="accent1" w:themeFillShade="80"/>
                <w:lang w:val="en-US"/>
              </w:rPr>
              <w:t>contribution</w:t>
            </w:r>
          </w:p>
          <w:p w14:paraId="52A3EB2D" w14:textId="77777777" w:rsidR="00105C7C" w:rsidRDefault="00105C7C" w:rsidP="003C3B30">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75820220" w14:textId="77777777" w:rsidR="00105C7C" w:rsidRDefault="00105C7C" w:rsidP="003C3B30">
            <w:pPr>
              <w:rPr>
                <w:lang w:val="en-US"/>
              </w:rPr>
            </w:pPr>
            <w:r>
              <w:rPr>
                <w:noProof/>
              </w:rPr>
              <w:drawing>
                <wp:inline distT="0" distB="0" distL="0" distR="0" wp14:anchorId="74EF2D5D" wp14:editId="16AC434C">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7986B3B" w14:textId="77777777" w:rsidR="00105C7C" w:rsidRDefault="00105C7C" w:rsidP="003C3B30">
            <w:pPr>
              <w:jc w:val="right"/>
              <w:rPr>
                <w:rFonts w:cs="Arial"/>
                <w:color w:val="FFFFFF" w:themeColor="background1"/>
                <w:sz w:val="22"/>
                <w:szCs w:val="22"/>
                <w:shd w:val="clear" w:color="auto" w:fill="1F3864" w:themeFill="accent1" w:themeFillShade="80"/>
                <w:lang w:val="en-US"/>
              </w:rPr>
            </w:pPr>
          </w:p>
          <w:p w14:paraId="4D567599" w14:textId="77777777" w:rsidR="00105C7C" w:rsidRDefault="00105C7C" w:rsidP="003C3B30">
            <w:pPr>
              <w:jc w:val="right"/>
              <w:rPr>
                <w:rFonts w:cs="Arial"/>
                <w:color w:val="FFFFFF" w:themeColor="background1"/>
                <w:sz w:val="22"/>
                <w:szCs w:val="22"/>
                <w:shd w:val="clear" w:color="auto" w:fill="1F3864" w:themeFill="accent1" w:themeFillShade="80"/>
                <w:lang w:val="en-US"/>
              </w:rPr>
            </w:pPr>
          </w:p>
          <w:p w14:paraId="08EA4D25" w14:textId="77777777" w:rsidR="00105C7C" w:rsidRDefault="00105C7C" w:rsidP="003C3B30">
            <w:pPr>
              <w:jc w:val="center"/>
              <w:rPr>
                <w:rFonts w:cs="Arial"/>
                <w:color w:val="FFFFFF" w:themeColor="background1"/>
                <w:sz w:val="32"/>
                <w:szCs w:val="32"/>
                <w:shd w:val="clear" w:color="auto" w:fill="1F3864" w:themeFill="accent1" w:themeFillShade="80"/>
                <w:lang w:val="en-US"/>
              </w:rPr>
            </w:pPr>
          </w:p>
          <w:p w14:paraId="1F9E40C3" w14:textId="3DE10B9A" w:rsidR="00105C7C" w:rsidRDefault="00105C7C" w:rsidP="003C3B30">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FB6A63">
              <w:rPr>
                <w:rFonts w:cs="Arial"/>
                <w:color w:val="FFFFFF" w:themeColor="background1"/>
                <w:sz w:val="32"/>
                <w:szCs w:val="32"/>
                <w:shd w:val="clear" w:color="auto" w:fill="1F3864" w:themeFill="accent1" w:themeFillShade="80"/>
                <w:lang w:val="en-US"/>
              </w:rPr>
              <w:t>5</w:t>
            </w:r>
          </w:p>
          <w:p w14:paraId="152734C9" w14:textId="77777777" w:rsidR="00105C7C" w:rsidRDefault="00105C7C" w:rsidP="003C3B30">
            <w:pPr>
              <w:jc w:val="right"/>
              <w:rPr>
                <w:rFonts w:cs="Arial"/>
                <w:color w:val="FFFFFF" w:themeColor="background1"/>
                <w:sz w:val="22"/>
                <w:szCs w:val="22"/>
                <w:shd w:val="clear" w:color="auto" w:fill="1F3864" w:themeFill="accent1" w:themeFillShade="80"/>
                <w:lang w:val="en-US"/>
              </w:rPr>
            </w:pPr>
          </w:p>
          <w:p w14:paraId="1C20C27C" w14:textId="77777777" w:rsidR="00105C7C" w:rsidRDefault="00105C7C" w:rsidP="003C3B30">
            <w:pPr>
              <w:jc w:val="right"/>
              <w:rPr>
                <w:lang w:val="en-US"/>
              </w:rPr>
            </w:pPr>
          </w:p>
        </w:tc>
      </w:tr>
      <w:tr w:rsidR="00105C7C" w:rsidRPr="00232D49" w14:paraId="76E5FD9B" w14:textId="77777777" w:rsidTr="003C3B30">
        <w:trPr>
          <w:trHeight w:val="652"/>
          <w:jc w:val="center"/>
        </w:trPr>
        <w:tc>
          <w:tcPr>
            <w:tcW w:w="10007" w:type="dxa"/>
            <w:gridSpan w:val="3"/>
          </w:tcPr>
          <w:p w14:paraId="2202C819" w14:textId="77777777" w:rsidR="00105C7C" w:rsidRDefault="00105C7C" w:rsidP="003C3B30">
            <w:pPr>
              <w:jc w:val="right"/>
              <w:rPr>
                <w:rFonts w:cstheme="minorHAnsi"/>
                <w:b/>
                <w:bCs/>
                <w:color w:val="002060"/>
                <w:sz w:val="24"/>
                <w:szCs w:val="24"/>
                <w:lang w:val="en-US"/>
              </w:rPr>
            </w:pPr>
          </w:p>
          <w:p w14:paraId="5FC32486" w14:textId="77777777" w:rsidR="00105C7C" w:rsidRPr="002B311C" w:rsidRDefault="00105C7C" w:rsidP="003C3B30">
            <w:pPr>
              <w:jc w:val="right"/>
              <w:rPr>
                <w:rFonts w:cstheme="minorHAnsi"/>
                <w:b/>
                <w:bCs/>
                <w:color w:val="002060"/>
                <w:sz w:val="28"/>
                <w:szCs w:val="28"/>
                <w:lang w:val="en-US"/>
              </w:rPr>
            </w:pPr>
            <w:r w:rsidRPr="002B311C">
              <w:rPr>
                <w:rFonts w:cstheme="minorHAnsi"/>
                <w:b/>
                <w:bCs/>
                <w:color w:val="002060"/>
                <w:sz w:val="28"/>
                <w:szCs w:val="28"/>
                <w:lang w:val="en-US"/>
              </w:rPr>
              <w:t>Directorate General Human Rights and Rule of Law (DG I)</w:t>
            </w:r>
          </w:p>
          <w:p w14:paraId="5C5D006B" w14:textId="77777777" w:rsidR="00105C7C" w:rsidRDefault="00105C7C" w:rsidP="003C3B30">
            <w:pPr>
              <w:rPr>
                <w:rFonts w:cs="Arial"/>
                <w:color w:val="FFFFFF" w:themeColor="background1"/>
                <w:sz w:val="22"/>
                <w:szCs w:val="22"/>
                <w:shd w:val="clear" w:color="auto" w:fill="1F3864" w:themeFill="accent1" w:themeFillShade="80"/>
                <w:lang w:val="en-US"/>
              </w:rPr>
            </w:pPr>
          </w:p>
        </w:tc>
      </w:tr>
    </w:tbl>
    <w:p w14:paraId="703F235C" w14:textId="77777777" w:rsidR="00105C7C" w:rsidRPr="00282225" w:rsidRDefault="00105C7C" w:rsidP="00105C7C">
      <w:pPr>
        <w:rPr>
          <w:lang w:val="en-US"/>
        </w:rPr>
      </w:pPr>
    </w:p>
    <w:p w14:paraId="413C6A98" w14:textId="77777777" w:rsidR="00105C7C" w:rsidRDefault="00105C7C" w:rsidP="00105C7C">
      <w:pPr>
        <w:rPr>
          <w:lang w:val="en-US"/>
        </w:rPr>
      </w:pPr>
    </w:p>
    <w:tbl>
      <w:tblPr>
        <w:tblStyle w:val="TableGrid"/>
        <w:tblW w:w="10008" w:type="dxa"/>
        <w:jc w:val="center"/>
        <w:tblLook w:val="04A0" w:firstRow="1" w:lastRow="0" w:firstColumn="1" w:lastColumn="0" w:noHBand="0" w:noVBand="1"/>
      </w:tblPr>
      <w:tblGrid>
        <w:gridCol w:w="10008"/>
      </w:tblGrid>
      <w:tr w:rsidR="00105C7C" w14:paraId="050EAB0B" w14:textId="77777777" w:rsidTr="003C3B30">
        <w:trPr>
          <w:trHeight w:val="249"/>
          <w:jc w:val="center"/>
        </w:trPr>
        <w:tc>
          <w:tcPr>
            <w:tcW w:w="10008" w:type="dxa"/>
            <w:shd w:val="clear" w:color="auto" w:fill="1F3864" w:themeFill="accent1" w:themeFillShade="80"/>
          </w:tcPr>
          <w:p w14:paraId="45D231E5" w14:textId="77777777" w:rsidR="00105C7C" w:rsidRDefault="00105C7C" w:rsidP="003C3B30">
            <w:pPr>
              <w:rPr>
                <w:lang w:val="en-US"/>
              </w:rPr>
            </w:pPr>
          </w:p>
          <w:p w14:paraId="2BD0EE84" w14:textId="617B3738" w:rsidR="00105C7C" w:rsidRPr="006D3771" w:rsidRDefault="00105C7C" w:rsidP="003C3B30">
            <w:pPr>
              <w:jc w:val="center"/>
              <w:rPr>
                <w:sz w:val="32"/>
                <w:szCs w:val="32"/>
                <w:lang w:val="en-US"/>
              </w:rPr>
            </w:pPr>
            <w:r>
              <w:rPr>
                <w:sz w:val="32"/>
                <w:szCs w:val="32"/>
                <w:lang w:val="en-US"/>
              </w:rPr>
              <w:t>General issues</w:t>
            </w:r>
          </w:p>
          <w:p w14:paraId="095B0D02" w14:textId="77777777" w:rsidR="00105C7C" w:rsidRDefault="00105C7C" w:rsidP="003C3B30">
            <w:pPr>
              <w:rPr>
                <w:lang w:val="en-US"/>
              </w:rPr>
            </w:pPr>
          </w:p>
        </w:tc>
      </w:tr>
    </w:tbl>
    <w:p w14:paraId="1DBDC9F0" w14:textId="77777777" w:rsidR="00105C7C" w:rsidRDefault="00105C7C">
      <w:pPr>
        <w:rPr>
          <w:shd w:val="clear" w:color="auto" w:fill="FFFF00"/>
        </w:rPr>
      </w:pPr>
    </w:p>
    <w:p w14:paraId="0235BC0A" w14:textId="01B00013" w:rsidR="00105C7C" w:rsidRPr="00105C7C" w:rsidRDefault="00105C7C" w:rsidP="00105C7C">
      <w:pPr>
        <w:rPr>
          <w:rFonts w:asciiTheme="majorHAnsi" w:eastAsiaTheme="majorEastAsia" w:hAnsiTheme="majorHAnsi" w:cstheme="majorBidi"/>
          <w:color w:val="2F5496" w:themeColor="accent1" w:themeShade="BF"/>
          <w:sz w:val="32"/>
          <w:szCs w:val="32"/>
          <w:lang w:val="en-US"/>
        </w:rPr>
      </w:pPr>
      <w:r>
        <w:rPr>
          <w:rFonts w:asciiTheme="majorHAnsi" w:eastAsiaTheme="majorEastAsia" w:hAnsiTheme="majorHAnsi" w:cstheme="majorBidi"/>
          <w:color w:val="2F5496" w:themeColor="accent1" w:themeShade="BF"/>
          <w:sz w:val="32"/>
          <w:szCs w:val="32"/>
          <w:lang w:val="en-US"/>
        </w:rPr>
        <w:t>I J</w:t>
      </w:r>
      <w:r w:rsidRPr="00105C7C">
        <w:rPr>
          <w:rFonts w:asciiTheme="majorHAnsi" w:eastAsiaTheme="majorEastAsia" w:hAnsiTheme="majorHAnsi" w:cstheme="majorBidi"/>
          <w:color w:val="2F5496" w:themeColor="accent1" w:themeShade="BF"/>
          <w:sz w:val="32"/>
          <w:szCs w:val="32"/>
          <w:lang w:val="en-US"/>
        </w:rPr>
        <w:t xml:space="preserve">ustice </w:t>
      </w:r>
      <w:r>
        <w:rPr>
          <w:rFonts w:asciiTheme="majorHAnsi" w:eastAsiaTheme="majorEastAsia" w:hAnsiTheme="majorHAnsi" w:cstheme="majorBidi"/>
          <w:color w:val="2F5496" w:themeColor="accent1" w:themeShade="BF"/>
          <w:sz w:val="32"/>
          <w:szCs w:val="32"/>
          <w:lang w:val="en-US"/>
        </w:rPr>
        <w:t>S</w:t>
      </w:r>
      <w:r w:rsidRPr="00105C7C">
        <w:rPr>
          <w:rFonts w:asciiTheme="majorHAnsi" w:eastAsiaTheme="majorEastAsia" w:hAnsiTheme="majorHAnsi" w:cstheme="majorBidi"/>
          <w:color w:val="2F5496" w:themeColor="accent1" w:themeShade="BF"/>
          <w:sz w:val="32"/>
          <w:szCs w:val="32"/>
          <w:lang w:val="en-US"/>
        </w:rPr>
        <w:t>ystems</w:t>
      </w:r>
    </w:p>
    <w:p w14:paraId="4CF1C750" w14:textId="1351FC3E" w:rsidR="00105C7C" w:rsidRDefault="00105C7C" w:rsidP="00105C7C">
      <w:pPr>
        <w:rPr>
          <w:rFonts w:asciiTheme="majorHAnsi" w:eastAsiaTheme="majorEastAsia" w:hAnsiTheme="majorHAnsi" w:cstheme="majorBidi"/>
          <w:color w:val="2F5496" w:themeColor="accent1" w:themeShade="BF"/>
          <w:sz w:val="32"/>
          <w:szCs w:val="32"/>
          <w:lang w:val="en-US"/>
        </w:rPr>
      </w:pPr>
    </w:p>
    <w:p w14:paraId="4525DC60" w14:textId="77777777" w:rsidR="00376E0D" w:rsidRDefault="00376E0D" w:rsidP="00376E0D">
      <w:pPr>
        <w:pStyle w:val="COEHI"/>
        <w:numPr>
          <w:ilvl w:val="0"/>
          <w:numId w:val="0"/>
        </w:numPr>
        <w:rPr>
          <w:rFonts w:asciiTheme="minorHAnsi" w:hAnsiTheme="minorHAnsi" w:cstheme="minorHAnsi"/>
          <w:sz w:val="20"/>
          <w:szCs w:val="20"/>
          <w:lang w:val="en-GB"/>
        </w:rPr>
      </w:pPr>
      <w:r w:rsidRPr="003D4BA2">
        <w:rPr>
          <w:rFonts w:asciiTheme="minorHAnsi" w:hAnsiTheme="minorHAnsi" w:cstheme="minorHAnsi"/>
          <w:sz w:val="20"/>
          <w:szCs w:val="20"/>
          <w:lang w:val="en-GB"/>
        </w:rPr>
        <w:t>Consultative Council of European Judges (CCJE)</w:t>
      </w:r>
    </w:p>
    <w:p w14:paraId="3B069973" w14:textId="77777777" w:rsidR="00FB6A63" w:rsidRPr="00FB6A63" w:rsidRDefault="00000000" w:rsidP="00FB6A63">
      <w:pPr>
        <w:rPr>
          <w:rFonts w:ascii="Calibri" w:eastAsia="Aptos" w:hAnsi="Calibri" w:cs="Calibri"/>
          <w:lang w:val="en-GB"/>
        </w:rPr>
      </w:pPr>
      <w:hyperlink r:id="rId7" w:history="1">
        <w:r w:rsidR="00FB6A63" w:rsidRPr="00FB6A63">
          <w:rPr>
            <w:rFonts w:ascii="Calibri" w:eastAsia="Aptos" w:hAnsi="Calibri" w:cs="Calibri"/>
            <w:color w:val="0563C1"/>
            <w:u w:val="single"/>
            <w:lang w:val="en-GB"/>
          </w:rPr>
          <w:t>CCJE Opinion No. 27 (2024) on the disciplinary liability of judges</w:t>
        </w:r>
      </w:hyperlink>
    </w:p>
    <w:p w14:paraId="44BAB55B" w14:textId="77777777" w:rsidR="00FB6A63" w:rsidRDefault="00FB6A63" w:rsidP="00376E0D">
      <w:pPr>
        <w:pStyle w:val="COEHI"/>
        <w:numPr>
          <w:ilvl w:val="0"/>
          <w:numId w:val="0"/>
        </w:numPr>
        <w:rPr>
          <w:rFonts w:asciiTheme="minorHAnsi" w:hAnsiTheme="minorHAnsi" w:cstheme="minorHAnsi"/>
          <w:sz w:val="20"/>
          <w:szCs w:val="20"/>
          <w:lang w:val="en-GB"/>
        </w:rPr>
      </w:pPr>
    </w:p>
    <w:p w14:paraId="6AB45078" w14:textId="77777777" w:rsidR="00FB6A63" w:rsidRDefault="00FB6A63" w:rsidP="00FB6A63">
      <w:pPr>
        <w:pStyle w:val="COEHI"/>
        <w:numPr>
          <w:ilvl w:val="0"/>
          <w:numId w:val="0"/>
        </w:numPr>
        <w:rPr>
          <w:rFonts w:asciiTheme="minorHAnsi" w:hAnsiTheme="minorHAnsi" w:cstheme="minorHAnsi"/>
          <w:sz w:val="20"/>
          <w:szCs w:val="20"/>
          <w:lang w:val="en-GB"/>
        </w:rPr>
      </w:pPr>
      <w:r w:rsidRPr="003D4BA2">
        <w:rPr>
          <w:rFonts w:asciiTheme="minorHAnsi" w:hAnsiTheme="minorHAnsi" w:cstheme="minorHAnsi"/>
          <w:sz w:val="20"/>
          <w:szCs w:val="20"/>
          <w:lang w:val="en-GB"/>
        </w:rPr>
        <w:t>Consultative Council of European Judges (CCJE)</w:t>
      </w:r>
    </w:p>
    <w:p w14:paraId="0809D165" w14:textId="77777777" w:rsidR="00FB6A63" w:rsidRPr="00FB6A63" w:rsidRDefault="00000000" w:rsidP="00FB6A63">
      <w:pPr>
        <w:rPr>
          <w:rFonts w:ascii="Calibri" w:eastAsia="Aptos" w:hAnsi="Calibri" w:cs="Calibri"/>
          <w:lang w:val="en-GB"/>
        </w:rPr>
      </w:pPr>
      <w:hyperlink r:id="rId8" w:history="1">
        <w:r w:rsidR="00FB6A63" w:rsidRPr="00FB6A63">
          <w:rPr>
            <w:rFonts w:ascii="Calibri" w:eastAsia="Aptos" w:hAnsi="Calibri" w:cs="Calibri"/>
            <w:color w:val="0563C1"/>
            <w:u w:val="single"/>
            <w:lang w:val="en-GB"/>
          </w:rPr>
          <w:t>Thematic study of the CCJE on diversity and inclusivity in the judiciary</w:t>
        </w:r>
      </w:hyperlink>
    </w:p>
    <w:p w14:paraId="614BA3F4" w14:textId="77777777" w:rsidR="00376E0D" w:rsidRPr="00DC109C" w:rsidRDefault="00376E0D" w:rsidP="00376E0D">
      <w:pPr>
        <w:pStyle w:val="COEHeading2bis"/>
        <w:spacing w:after="0"/>
        <w:ind w:firstLine="0"/>
        <w:jc w:val="both"/>
        <w:rPr>
          <w:rFonts w:asciiTheme="minorHAnsi" w:hAnsiTheme="minorHAnsi" w:cstheme="minorHAnsi"/>
          <w:sz w:val="20"/>
          <w:szCs w:val="20"/>
          <w:lang w:val="en-GB"/>
        </w:rPr>
      </w:pPr>
      <w:r w:rsidRPr="00DC109C">
        <w:rPr>
          <w:rFonts w:asciiTheme="minorHAnsi" w:hAnsiTheme="minorHAnsi" w:cstheme="minorHAnsi"/>
          <w:caps w:val="0"/>
          <w:sz w:val="20"/>
          <w:szCs w:val="20"/>
          <w:lang w:val="en-GB"/>
        </w:rPr>
        <w:t xml:space="preserve">Consultative Council of European Prosecutors </w:t>
      </w:r>
      <w:r w:rsidRPr="00DC109C">
        <w:rPr>
          <w:rFonts w:asciiTheme="minorHAnsi" w:hAnsiTheme="minorHAnsi" w:cstheme="minorHAnsi"/>
          <w:sz w:val="20"/>
          <w:szCs w:val="20"/>
          <w:lang w:val="en-GB"/>
        </w:rPr>
        <w:t>(CCPE)</w:t>
      </w:r>
    </w:p>
    <w:p w14:paraId="1A5C25EB" w14:textId="77777777" w:rsidR="00FB6A63" w:rsidRPr="00FB6A63" w:rsidRDefault="00000000" w:rsidP="00FB6A63">
      <w:pPr>
        <w:rPr>
          <w:rFonts w:ascii="Calibri" w:eastAsia="Aptos" w:hAnsi="Calibri" w:cs="Calibri"/>
          <w:lang w:val="en-GB"/>
        </w:rPr>
      </w:pPr>
      <w:hyperlink r:id="rId9" w:history="1">
        <w:r w:rsidR="00FB6A63" w:rsidRPr="00FB6A63">
          <w:rPr>
            <w:rFonts w:ascii="Calibri" w:eastAsia="Aptos" w:hAnsi="Calibri" w:cs="Calibri"/>
            <w:color w:val="0563C1"/>
            <w:u w:val="single"/>
            <w:lang w:val="en-GB"/>
          </w:rPr>
          <w:t>CCPE Opinion No. 19 (2024) on managing prosecution services to ensure their independence and impartiality</w:t>
        </w:r>
      </w:hyperlink>
      <w:r w:rsidR="00FB6A63" w:rsidRPr="00FB6A63">
        <w:rPr>
          <w:rFonts w:ascii="Calibri" w:eastAsia="Aptos" w:hAnsi="Calibri" w:cs="Calibri"/>
          <w:lang w:val="en-GB"/>
        </w:rPr>
        <w:t xml:space="preserve"> </w:t>
      </w:r>
    </w:p>
    <w:p w14:paraId="2B77529F" w14:textId="77777777" w:rsidR="00376E0D" w:rsidRDefault="00376E0D" w:rsidP="00376E0D">
      <w:pPr>
        <w:pStyle w:val="xmsonormal"/>
        <w:shd w:val="clear" w:color="auto" w:fill="FFFFFF"/>
        <w:jc w:val="both"/>
        <w:rPr>
          <w:rFonts w:asciiTheme="minorHAnsi" w:hAnsiTheme="minorHAnsi" w:cstheme="minorHAnsi"/>
          <w:color w:val="000000"/>
          <w:sz w:val="20"/>
          <w:szCs w:val="20"/>
          <w:lang w:val="en-GB"/>
        </w:rPr>
      </w:pPr>
    </w:p>
    <w:p w14:paraId="1BA97A60" w14:textId="77777777" w:rsidR="00376E0D" w:rsidRDefault="00376E0D" w:rsidP="00376E0D">
      <w:pPr>
        <w:pStyle w:val="xmsonormal"/>
        <w:shd w:val="clear" w:color="auto" w:fill="FFFFFF"/>
        <w:jc w:val="both"/>
        <w:rPr>
          <w:rFonts w:asciiTheme="minorHAnsi" w:hAnsiTheme="minorHAnsi" w:cstheme="minorHAnsi"/>
          <w:sz w:val="20"/>
          <w:szCs w:val="20"/>
          <w:lang w:val="en-GB"/>
        </w:rPr>
      </w:pPr>
      <w:r w:rsidRPr="00DC109C">
        <w:rPr>
          <w:rFonts w:asciiTheme="minorHAnsi" w:hAnsiTheme="minorHAnsi" w:cstheme="minorHAnsi"/>
          <w:sz w:val="20"/>
          <w:szCs w:val="20"/>
          <w:lang w:val="en-GB"/>
        </w:rPr>
        <w:t>Consultative Council of European Prosecutors (CCPE)</w:t>
      </w:r>
    </w:p>
    <w:p w14:paraId="1019B486" w14:textId="77777777" w:rsidR="00FB6A63" w:rsidRPr="00FB6A63" w:rsidRDefault="00000000" w:rsidP="00FB6A63">
      <w:pPr>
        <w:rPr>
          <w:rFonts w:ascii="Calibri" w:eastAsia="Aptos" w:hAnsi="Calibri" w:cs="Calibri"/>
          <w:lang w:val="en-GB"/>
        </w:rPr>
      </w:pPr>
      <w:hyperlink r:id="rId10" w:history="1">
        <w:r w:rsidR="00FB6A63" w:rsidRPr="00FB6A63">
          <w:rPr>
            <w:rFonts w:ascii="Calibri" w:eastAsia="Aptos" w:hAnsi="Calibri" w:cs="Calibri"/>
            <w:color w:val="0563C1"/>
            <w:u w:val="single"/>
            <w:lang w:val="en-GB"/>
          </w:rPr>
          <w:t>Thematic study of the CCPE on management practices of prosecution services in member states in connection with prosecutorial independence and impartiality</w:t>
        </w:r>
      </w:hyperlink>
    </w:p>
    <w:p w14:paraId="594374BE" w14:textId="77777777" w:rsidR="00376E0D" w:rsidRPr="00FB6A63" w:rsidRDefault="00376E0D" w:rsidP="00376E0D">
      <w:pPr>
        <w:jc w:val="both"/>
        <w:rPr>
          <w:lang w:val="en-GB"/>
        </w:rPr>
      </w:pPr>
    </w:p>
    <w:p w14:paraId="0BE2791D" w14:textId="77777777" w:rsidR="00376E0D" w:rsidRPr="003D4BA2" w:rsidRDefault="00376E0D" w:rsidP="00376E0D">
      <w:pPr>
        <w:jc w:val="both"/>
        <w:rPr>
          <w:lang w:val="en-US"/>
        </w:rPr>
      </w:pPr>
      <w:r>
        <w:rPr>
          <w:lang w:val="en-US"/>
        </w:rPr>
        <w:t xml:space="preserve">NOTE: Opinions of the CCJE/CCPE are applicable </w:t>
      </w:r>
      <w:r w:rsidRPr="003D4BA2">
        <w:rPr>
          <w:lang w:val="en-US"/>
        </w:rPr>
        <w:t>to all member States of the Council of Europe. T</w:t>
      </w:r>
      <w:r>
        <w:rPr>
          <w:lang w:val="en-US"/>
        </w:rPr>
        <w:t>hematic studies of the CCJE/CCPE are applicable to member States having responded to the respective questionnaires.</w:t>
      </w:r>
    </w:p>
    <w:p w14:paraId="19239093" w14:textId="046E299A" w:rsidR="00105C7C" w:rsidRDefault="00105C7C" w:rsidP="00105C7C">
      <w:pPr>
        <w:pStyle w:val="NoSpacing"/>
        <w:jc w:val="both"/>
        <w:rPr>
          <w:rStyle w:val="Hyperlink"/>
          <w:rFonts w:ascii="Calibri" w:hAnsi="Calibri" w:cs="Calibri"/>
          <w:lang w:val="en-US"/>
        </w:rPr>
      </w:pPr>
    </w:p>
    <w:p w14:paraId="55620886" w14:textId="3B72A96E" w:rsidR="003B6499" w:rsidRPr="00F2307E" w:rsidRDefault="00456E3E" w:rsidP="00105C7C">
      <w:pPr>
        <w:pStyle w:val="NoSpacing"/>
        <w:jc w:val="both"/>
        <w:rPr>
          <w:rFonts w:eastAsiaTheme="minorHAnsi"/>
          <w:lang w:val="en-US"/>
        </w:rPr>
      </w:pPr>
      <w:r w:rsidRPr="00F2307E">
        <w:rPr>
          <w:rFonts w:eastAsiaTheme="minorHAnsi"/>
          <w:lang w:val="en-US"/>
        </w:rPr>
        <w:t>Venice Commission</w:t>
      </w:r>
    </w:p>
    <w:p w14:paraId="37743C38" w14:textId="77777777" w:rsidR="00456E3E" w:rsidRDefault="00456E3E" w:rsidP="00105C7C">
      <w:pPr>
        <w:pStyle w:val="NoSpacing"/>
        <w:jc w:val="both"/>
        <w:rPr>
          <w:rStyle w:val="Hyperlink"/>
          <w:rFonts w:ascii="Calibri" w:hAnsi="Calibri" w:cs="Calibri"/>
          <w:lang w:val="en-US"/>
        </w:rPr>
      </w:pPr>
    </w:p>
    <w:p w14:paraId="7A39F5AA" w14:textId="77777777" w:rsidR="00456E3E" w:rsidRPr="00493429" w:rsidRDefault="00456E3E" w:rsidP="00456E3E">
      <w:pPr>
        <w:pStyle w:val="Default"/>
        <w:jc w:val="both"/>
        <w:rPr>
          <w:rFonts w:asciiTheme="minorHAnsi" w:hAnsiTheme="minorHAnsi" w:cstheme="minorHAnsi"/>
          <w:color w:val="auto"/>
          <w:sz w:val="20"/>
          <w:szCs w:val="20"/>
          <w:lang w:val="en-US"/>
        </w:rPr>
      </w:pPr>
      <w:r w:rsidRPr="00493429">
        <w:rPr>
          <w:rFonts w:asciiTheme="minorHAnsi" w:hAnsiTheme="minorHAnsi" w:cstheme="minorHAnsi"/>
          <w:color w:val="auto"/>
          <w:sz w:val="20"/>
          <w:szCs w:val="20"/>
          <w:lang w:val="en-US"/>
        </w:rPr>
        <w:t xml:space="preserve">The </w:t>
      </w:r>
      <w:r>
        <w:rPr>
          <w:rFonts w:asciiTheme="minorHAnsi" w:hAnsiTheme="minorHAnsi" w:cstheme="minorHAnsi"/>
          <w:color w:val="auto"/>
          <w:sz w:val="20"/>
          <w:szCs w:val="20"/>
          <w:lang w:val="en-US"/>
        </w:rPr>
        <w:t>‘</w:t>
      </w:r>
      <w:r w:rsidRPr="00493429">
        <w:rPr>
          <w:rFonts w:asciiTheme="minorHAnsi" w:hAnsiTheme="minorHAnsi" w:cstheme="minorHAnsi"/>
          <w:color w:val="auto"/>
          <w:sz w:val="20"/>
          <w:szCs w:val="20"/>
          <w:lang w:val="en-US"/>
        </w:rPr>
        <w:t>2024 Rule of Law Report - The rule of law situation in the European Union</w:t>
      </w:r>
      <w:r>
        <w:rPr>
          <w:rFonts w:asciiTheme="minorHAnsi" w:hAnsiTheme="minorHAnsi" w:cstheme="minorHAnsi"/>
          <w:color w:val="auto"/>
          <w:sz w:val="20"/>
          <w:szCs w:val="20"/>
          <w:lang w:val="en-US"/>
        </w:rPr>
        <w:t>’</w:t>
      </w:r>
      <w:r w:rsidRPr="00493429">
        <w:rPr>
          <w:rFonts w:asciiTheme="minorHAnsi" w:hAnsiTheme="minorHAnsi" w:cstheme="minorHAnsi"/>
          <w:color w:val="auto"/>
          <w:sz w:val="20"/>
          <w:szCs w:val="20"/>
          <w:lang w:val="en-US"/>
        </w:rPr>
        <w:t xml:space="preserve"> (page 34) states: </w:t>
      </w:r>
      <w:r>
        <w:rPr>
          <w:rFonts w:asciiTheme="minorHAnsi" w:hAnsiTheme="minorHAnsi" w:cstheme="minorHAnsi"/>
          <w:color w:val="auto"/>
          <w:sz w:val="20"/>
          <w:szCs w:val="20"/>
          <w:lang w:val="en-US"/>
        </w:rPr>
        <w:t>“</w:t>
      </w:r>
      <w:r w:rsidRPr="00493429">
        <w:rPr>
          <w:rFonts w:asciiTheme="minorHAnsi" w:hAnsiTheme="minorHAnsi" w:cstheme="minorHAnsi"/>
          <w:i/>
          <w:iCs/>
          <w:color w:val="auto"/>
          <w:sz w:val="20"/>
          <w:szCs w:val="20"/>
          <w:lang w:val="en-US"/>
        </w:rPr>
        <w:t>The Venice Commission is working on developing principles and good practices applicable to targeted surveillance by means of spyware</w:t>
      </w:r>
      <w:r>
        <w:rPr>
          <w:rFonts w:asciiTheme="minorHAnsi" w:hAnsiTheme="minorHAnsi" w:cstheme="minorHAnsi"/>
          <w:color w:val="auto"/>
          <w:sz w:val="20"/>
          <w:szCs w:val="20"/>
          <w:lang w:val="en-US"/>
        </w:rPr>
        <w:t xml:space="preserve">.” In that regard, the Venice Commission has adopted the following report: </w:t>
      </w:r>
    </w:p>
    <w:p w14:paraId="1C926994" w14:textId="77777777" w:rsidR="00456E3E" w:rsidRPr="00493429" w:rsidRDefault="00456E3E" w:rsidP="00456E3E">
      <w:pPr>
        <w:pStyle w:val="Default"/>
        <w:jc w:val="both"/>
        <w:rPr>
          <w:sz w:val="20"/>
          <w:szCs w:val="20"/>
          <w:lang w:val="en-GB"/>
        </w:rPr>
      </w:pPr>
    </w:p>
    <w:p w14:paraId="37E91F1E" w14:textId="77777777" w:rsidR="00456E3E" w:rsidRPr="008B2AE3" w:rsidRDefault="00456E3E" w:rsidP="00456E3E">
      <w:pPr>
        <w:pStyle w:val="Default"/>
        <w:jc w:val="both"/>
        <w:rPr>
          <w:rFonts w:asciiTheme="minorHAnsi" w:hAnsiTheme="minorHAnsi" w:cstheme="minorHAnsi"/>
          <w:color w:val="auto"/>
          <w:sz w:val="20"/>
          <w:szCs w:val="20"/>
          <w:lang w:val="en-US"/>
        </w:rPr>
      </w:pPr>
      <w:r>
        <w:fldChar w:fldCharType="begin"/>
      </w:r>
      <w:r w:rsidRPr="00A0677D">
        <w:rPr>
          <w:lang w:val="en-GB"/>
          <w:rPrChange w:id="0" w:author="DANIELL Saskia" w:date="2025-01-30T19:03:00Z">
            <w:rPr/>
          </w:rPrChange>
        </w:rPr>
        <w:instrText>HYPERLINK "https://www.venice.coe.int/webforms/documents/default.aspx?pdffile=CDL-AD(2024)043-e"</w:instrText>
      </w:r>
      <w:r>
        <w:fldChar w:fldCharType="separate"/>
      </w:r>
      <w:r w:rsidRPr="008B2AE3">
        <w:rPr>
          <w:rStyle w:val="Hyperlink"/>
          <w:rFonts w:asciiTheme="minorHAnsi" w:hAnsiTheme="minorHAnsi" w:cstheme="minorHAnsi"/>
          <w:sz w:val="20"/>
          <w:szCs w:val="20"/>
          <w:lang w:val="en-US"/>
        </w:rPr>
        <w:t>CDL-</w:t>
      </w:r>
      <w:proofErr w:type="gramStart"/>
      <w:r w:rsidRPr="008B2AE3">
        <w:rPr>
          <w:rStyle w:val="Hyperlink"/>
          <w:rFonts w:asciiTheme="minorHAnsi" w:hAnsiTheme="minorHAnsi" w:cstheme="minorHAnsi"/>
          <w:sz w:val="20"/>
          <w:szCs w:val="20"/>
          <w:lang w:val="en-US"/>
        </w:rPr>
        <w:t>AD(</w:t>
      </w:r>
      <w:proofErr w:type="gramEnd"/>
      <w:r w:rsidRPr="008B2AE3">
        <w:rPr>
          <w:rStyle w:val="Hyperlink"/>
          <w:rFonts w:asciiTheme="minorHAnsi" w:hAnsiTheme="minorHAnsi" w:cstheme="minorHAnsi"/>
          <w:sz w:val="20"/>
          <w:szCs w:val="20"/>
          <w:lang w:val="en-US"/>
        </w:rPr>
        <w:t>2024)043-e</w:t>
      </w:r>
      <w:r>
        <w:rPr>
          <w:rStyle w:val="Hyperlink"/>
          <w:rFonts w:asciiTheme="minorHAnsi" w:hAnsiTheme="minorHAnsi" w:cstheme="minorHAnsi"/>
          <w:sz w:val="20"/>
          <w:szCs w:val="20"/>
          <w:lang w:val="en-US"/>
        </w:rPr>
        <w:fldChar w:fldCharType="end"/>
      </w:r>
      <w:bookmarkStart w:id="1" w:name="_Toc187764580"/>
    </w:p>
    <w:p w14:paraId="055B9F43" w14:textId="77777777" w:rsidR="00456E3E" w:rsidRDefault="00456E3E" w:rsidP="00456E3E">
      <w:pPr>
        <w:pStyle w:val="Default"/>
        <w:jc w:val="both"/>
        <w:rPr>
          <w:rFonts w:asciiTheme="minorHAnsi" w:hAnsiTheme="minorHAnsi" w:cstheme="minorHAnsi"/>
          <w:color w:val="auto"/>
          <w:sz w:val="20"/>
          <w:szCs w:val="20"/>
          <w:lang w:val="en-US"/>
        </w:rPr>
      </w:pPr>
      <w:r w:rsidRPr="008B2AE3">
        <w:rPr>
          <w:color w:val="auto"/>
          <w:sz w:val="20"/>
          <w:szCs w:val="20"/>
          <w:lang w:val="en-US"/>
        </w:rPr>
        <w:t>Report on a rule of law and human rights compliant regulation of spyware</w:t>
      </w:r>
      <w:bookmarkEnd w:id="1"/>
      <w:r w:rsidRPr="008B2AE3">
        <w:rPr>
          <w:rFonts w:asciiTheme="minorHAnsi" w:hAnsiTheme="minorHAnsi" w:cstheme="minorHAnsi"/>
          <w:color w:val="auto"/>
          <w:sz w:val="20"/>
          <w:szCs w:val="20"/>
          <w:lang w:val="en-US"/>
        </w:rPr>
        <w:t>, adopted by the Venice Commission at its 141st Plenary Session (Venice, 6-7 December 2024)</w:t>
      </w:r>
    </w:p>
    <w:p w14:paraId="26F98D41" w14:textId="77777777" w:rsidR="00456E3E" w:rsidRDefault="00456E3E" w:rsidP="00456E3E">
      <w:pPr>
        <w:pStyle w:val="Default"/>
        <w:jc w:val="both"/>
        <w:rPr>
          <w:rFonts w:asciiTheme="minorHAnsi" w:hAnsiTheme="minorHAnsi" w:cstheme="minorHAnsi"/>
          <w:color w:val="auto"/>
          <w:sz w:val="20"/>
          <w:szCs w:val="20"/>
          <w:lang w:val="en-US"/>
        </w:rPr>
      </w:pPr>
    </w:p>
    <w:p w14:paraId="4EACCE21" w14:textId="77777777" w:rsidR="00456E3E" w:rsidRDefault="00456E3E" w:rsidP="00456E3E">
      <w:pPr>
        <w:pStyle w:val="Default"/>
        <w:jc w:val="both"/>
        <w:rPr>
          <w:rFonts w:asciiTheme="minorHAnsi" w:hAnsiTheme="minorHAnsi" w:cstheme="minorHAnsi"/>
          <w:color w:val="auto"/>
          <w:sz w:val="20"/>
          <w:szCs w:val="20"/>
          <w:lang w:val="en-US"/>
        </w:rPr>
      </w:pPr>
      <w:r>
        <w:fldChar w:fldCharType="begin"/>
      </w:r>
      <w:r w:rsidRPr="0015253B">
        <w:rPr>
          <w:lang w:val="en-GB"/>
          <w:rPrChange w:id="2" w:author="DANIELL Saskia" w:date="2025-01-31T13:04:00Z">
            <w:rPr/>
          </w:rPrChange>
        </w:rPr>
        <w:instrText>HYPERLINK "https://www.venice.coe.int/webforms/documents/default.aspx?pdffile=CDL-PI(2024)014-e"</w:instrText>
      </w:r>
      <w:r>
        <w:fldChar w:fldCharType="separate"/>
      </w:r>
      <w:r w:rsidRPr="00DF6D88">
        <w:rPr>
          <w:rStyle w:val="Hyperlink"/>
          <w:rFonts w:asciiTheme="minorHAnsi" w:hAnsiTheme="minorHAnsi" w:cstheme="minorHAnsi"/>
          <w:sz w:val="20"/>
          <w:szCs w:val="20"/>
          <w:lang w:val="en-GB"/>
        </w:rPr>
        <w:t>CDL-</w:t>
      </w:r>
      <w:proofErr w:type="gramStart"/>
      <w:r w:rsidRPr="00DF6D88">
        <w:rPr>
          <w:rStyle w:val="Hyperlink"/>
          <w:rFonts w:asciiTheme="minorHAnsi" w:hAnsiTheme="minorHAnsi" w:cstheme="minorHAnsi"/>
          <w:sz w:val="20"/>
          <w:szCs w:val="20"/>
          <w:lang w:val="en-GB"/>
        </w:rPr>
        <w:t>PI(</w:t>
      </w:r>
      <w:proofErr w:type="gramEnd"/>
      <w:r w:rsidRPr="00DF6D88">
        <w:rPr>
          <w:rStyle w:val="Hyperlink"/>
          <w:rFonts w:asciiTheme="minorHAnsi" w:hAnsiTheme="minorHAnsi" w:cstheme="minorHAnsi"/>
          <w:sz w:val="20"/>
          <w:szCs w:val="20"/>
          <w:lang w:val="en-GB"/>
        </w:rPr>
        <w:t>2024)014-e</w:t>
      </w:r>
      <w:r>
        <w:rPr>
          <w:rStyle w:val="Hyperlink"/>
          <w:rFonts w:asciiTheme="minorHAnsi" w:hAnsiTheme="minorHAnsi" w:cstheme="minorHAnsi"/>
          <w:sz w:val="20"/>
          <w:szCs w:val="20"/>
          <w:lang w:val="en-GB"/>
        </w:rPr>
        <w:fldChar w:fldCharType="end"/>
      </w:r>
      <w:r w:rsidRPr="00DF6D88">
        <w:rPr>
          <w:rFonts w:asciiTheme="minorHAnsi" w:hAnsiTheme="minorHAnsi" w:cstheme="minorHAnsi"/>
          <w:color w:val="auto"/>
          <w:sz w:val="20"/>
          <w:szCs w:val="20"/>
          <w:lang w:val="en-GB"/>
        </w:rPr>
        <w:br/>
        <w:t>Questionnaire on the regulation of spyware at domestic level</w:t>
      </w:r>
    </w:p>
    <w:p w14:paraId="566CA7D2" w14:textId="77777777" w:rsidR="00456E3E" w:rsidRDefault="00456E3E" w:rsidP="00456E3E">
      <w:pPr>
        <w:pStyle w:val="Default"/>
        <w:jc w:val="both"/>
        <w:rPr>
          <w:rFonts w:asciiTheme="minorHAnsi" w:hAnsiTheme="minorHAnsi" w:cstheme="minorHAnsi"/>
          <w:color w:val="auto"/>
          <w:sz w:val="20"/>
          <w:szCs w:val="20"/>
          <w:lang w:val="en-US"/>
        </w:rPr>
      </w:pPr>
    </w:p>
    <w:p w14:paraId="216F0958" w14:textId="77777777" w:rsidR="00456E3E" w:rsidRDefault="00456E3E" w:rsidP="00456E3E">
      <w:pPr>
        <w:pStyle w:val="Default"/>
        <w:jc w:val="both"/>
        <w:rPr>
          <w:rFonts w:asciiTheme="minorHAnsi" w:hAnsiTheme="minorHAnsi" w:cstheme="minorHAnsi"/>
          <w:color w:val="auto"/>
          <w:sz w:val="20"/>
          <w:szCs w:val="20"/>
          <w:lang w:val="en-GB"/>
        </w:rPr>
      </w:pPr>
      <w:r>
        <w:fldChar w:fldCharType="begin"/>
      </w:r>
      <w:r w:rsidRPr="0015253B">
        <w:rPr>
          <w:lang w:val="en-GB"/>
          <w:rPrChange w:id="3" w:author="DANIELL Saskia" w:date="2025-01-31T13:04:00Z">
            <w:rPr/>
          </w:rPrChange>
        </w:rPr>
        <w:instrText>HYPERLINK "https://www.venice.coe.int/webforms/documents/?pdf=CDL-PI(2025)003-e"</w:instrText>
      </w:r>
      <w:r>
        <w:fldChar w:fldCharType="separate"/>
      </w:r>
      <w:r w:rsidRPr="003077A5">
        <w:rPr>
          <w:rStyle w:val="Hyperlink"/>
          <w:rFonts w:asciiTheme="minorHAnsi" w:hAnsiTheme="minorHAnsi" w:cstheme="minorHAnsi"/>
          <w:sz w:val="20"/>
          <w:szCs w:val="20"/>
          <w:lang w:val="en-GB"/>
        </w:rPr>
        <w:t>CDL-</w:t>
      </w:r>
      <w:proofErr w:type="gramStart"/>
      <w:r w:rsidRPr="003077A5">
        <w:rPr>
          <w:rStyle w:val="Hyperlink"/>
          <w:rFonts w:asciiTheme="minorHAnsi" w:hAnsiTheme="minorHAnsi" w:cstheme="minorHAnsi"/>
          <w:sz w:val="20"/>
          <w:szCs w:val="20"/>
          <w:lang w:val="en-GB"/>
        </w:rPr>
        <w:t>PI(</w:t>
      </w:r>
      <w:proofErr w:type="gramEnd"/>
      <w:r w:rsidRPr="003077A5">
        <w:rPr>
          <w:rStyle w:val="Hyperlink"/>
          <w:rFonts w:asciiTheme="minorHAnsi" w:hAnsiTheme="minorHAnsi" w:cstheme="minorHAnsi"/>
          <w:sz w:val="20"/>
          <w:szCs w:val="20"/>
          <w:lang w:val="en-GB"/>
        </w:rPr>
        <w:t>2025)003 </w:t>
      </w:r>
      <w:r>
        <w:rPr>
          <w:rStyle w:val="Hyperlink"/>
          <w:rFonts w:asciiTheme="minorHAnsi" w:hAnsiTheme="minorHAnsi" w:cstheme="minorHAnsi"/>
          <w:sz w:val="20"/>
          <w:szCs w:val="20"/>
          <w:lang w:val="en-GB"/>
        </w:rPr>
        <w:fldChar w:fldCharType="end"/>
      </w:r>
      <w:r w:rsidRPr="003077A5">
        <w:rPr>
          <w:rFonts w:asciiTheme="minorHAnsi" w:hAnsiTheme="minorHAnsi" w:cstheme="minorHAnsi"/>
          <w:color w:val="auto"/>
          <w:sz w:val="20"/>
          <w:szCs w:val="20"/>
          <w:lang w:val="en-GB"/>
        </w:rPr>
        <w:br/>
      </w:r>
      <w:r>
        <w:fldChar w:fldCharType="begin"/>
      </w:r>
      <w:r w:rsidRPr="0015253B">
        <w:rPr>
          <w:lang w:val="en-GB"/>
          <w:rPrChange w:id="4" w:author="DANIELL Saskia" w:date="2025-01-31T13:04:00Z">
            <w:rPr/>
          </w:rPrChange>
        </w:rPr>
        <w:instrText>HYPERLINK "https://www.venice.coe.int/webforms/documents/?pdf=CDL-PI(2025)003-e"</w:instrText>
      </w:r>
      <w:r>
        <w:fldChar w:fldCharType="separate"/>
      </w:r>
      <w:r w:rsidRPr="003077A5">
        <w:rPr>
          <w:rFonts w:asciiTheme="minorHAnsi" w:hAnsiTheme="minorHAnsi" w:cstheme="minorHAnsi"/>
          <w:color w:val="auto"/>
          <w:sz w:val="20"/>
          <w:szCs w:val="20"/>
          <w:lang w:val="en-GB"/>
        </w:rPr>
        <w:t>Compilation of Venice Commission Opinions and Reports concerning Judges</w:t>
      </w:r>
      <w:r>
        <w:rPr>
          <w:rFonts w:asciiTheme="minorHAnsi" w:hAnsiTheme="minorHAnsi" w:cstheme="minorHAnsi"/>
          <w:color w:val="auto"/>
          <w:sz w:val="20"/>
          <w:szCs w:val="20"/>
          <w:lang w:val="en-GB"/>
        </w:rPr>
        <w:fldChar w:fldCharType="end"/>
      </w:r>
      <w:r w:rsidRPr="003077A5">
        <w:rPr>
          <w:rFonts w:asciiTheme="minorHAnsi" w:hAnsiTheme="minorHAnsi" w:cstheme="minorHAnsi"/>
          <w:color w:val="auto"/>
          <w:sz w:val="20"/>
          <w:szCs w:val="20"/>
          <w:lang w:val="en-GB"/>
        </w:rPr>
        <w:t xml:space="preserve">  </w:t>
      </w:r>
    </w:p>
    <w:p w14:paraId="3BC63795" w14:textId="77777777" w:rsidR="00456E3E" w:rsidRDefault="00456E3E" w:rsidP="00456E3E">
      <w:pPr>
        <w:pStyle w:val="Default"/>
        <w:jc w:val="both"/>
        <w:rPr>
          <w:rFonts w:asciiTheme="minorHAnsi" w:hAnsiTheme="minorHAnsi" w:cstheme="minorHAnsi"/>
          <w:color w:val="auto"/>
          <w:sz w:val="20"/>
          <w:szCs w:val="20"/>
          <w:lang w:val="en-GB"/>
        </w:rPr>
      </w:pPr>
    </w:p>
    <w:p w14:paraId="3E4F14F6" w14:textId="77777777" w:rsidR="00456E3E" w:rsidRPr="003077A5" w:rsidRDefault="00000000" w:rsidP="00456E3E">
      <w:pPr>
        <w:pStyle w:val="Default"/>
        <w:rPr>
          <w:rFonts w:asciiTheme="minorHAnsi" w:hAnsiTheme="minorHAnsi" w:cstheme="minorHAnsi"/>
          <w:color w:val="auto"/>
          <w:sz w:val="20"/>
          <w:szCs w:val="20"/>
          <w:lang w:val="en-GB"/>
        </w:rPr>
      </w:pPr>
      <w:r>
        <w:fldChar w:fldCharType="begin"/>
      </w:r>
      <w:r w:rsidRPr="00232D49">
        <w:rPr>
          <w:lang w:val="en-US"/>
        </w:rPr>
        <w:instrText>HYPERLINK "https://www.venice.coe.int/webforms/documents/?pdf=CDL-PI(2025)002-e"</w:instrText>
      </w:r>
      <w:r>
        <w:fldChar w:fldCharType="separate"/>
      </w:r>
      <w:r w:rsidR="00456E3E" w:rsidRPr="003077A5">
        <w:rPr>
          <w:rStyle w:val="Hyperlink"/>
          <w:rFonts w:asciiTheme="minorHAnsi" w:hAnsiTheme="minorHAnsi" w:cstheme="minorHAnsi"/>
          <w:sz w:val="20"/>
          <w:szCs w:val="20"/>
          <w:lang w:val="en-GB"/>
        </w:rPr>
        <w:t>CDL-</w:t>
      </w:r>
      <w:proofErr w:type="gramStart"/>
      <w:r w:rsidR="00456E3E" w:rsidRPr="003077A5">
        <w:rPr>
          <w:rStyle w:val="Hyperlink"/>
          <w:rFonts w:asciiTheme="minorHAnsi" w:hAnsiTheme="minorHAnsi" w:cstheme="minorHAnsi"/>
          <w:sz w:val="20"/>
          <w:szCs w:val="20"/>
          <w:lang w:val="en-GB"/>
        </w:rPr>
        <w:t>PI(</w:t>
      </w:r>
      <w:proofErr w:type="gramEnd"/>
      <w:r w:rsidR="00456E3E" w:rsidRPr="003077A5">
        <w:rPr>
          <w:rStyle w:val="Hyperlink"/>
          <w:rFonts w:asciiTheme="minorHAnsi" w:hAnsiTheme="minorHAnsi" w:cstheme="minorHAnsi"/>
          <w:sz w:val="20"/>
          <w:szCs w:val="20"/>
          <w:lang w:val="en-GB"/>
        </w:rPr>
        <w:t xml:space="preserve">2025)002 </w:t>
      </w:r>
      <w:r>
        <w:rPr>
          <w:rStyle w:val="Hyperlink"/>
          <w:rFonts w:asciiTheme="minorHAnsi" w:hAnsiTheme="minorHAnsi" w:cstheme="minorHAnsi"/>
          <w:sz w:val="20"/>
          <w:szCs w:val="20"/>
          <w:lang w:val="en-GB"/>
        </w:rPr>
        <w:fldChar w:fldCharType="end"/>
      </w:r>
      <w:r w:rsidR="00456E3E" w:rsidRPr="003077A5">
        <w:rPr>
          <w:rFonts w:asciiTheme="minorHAnsi" w:hAnsiTheme="minorHAnsi" w:cstheme="minorHAnsi"/>
          <w:color w:val="auto"/>
          <w:sz w:val="20"/>
          <w:szCs w:val="20"/>
          <w:lang w:val="en-GB"/>
        </w:rPr>
        <w:t xml:space="preserve"> </w:t>
      </w:r>
    </w:p>
    <w:p w14:paraId="7AE4064B" w14:textId="77777777" w:rsidR="00456E3E" w:rsidRDefault="00456E3E" w:rsidP="00456E3E">
      <w:pPr>
        <w:pStyle w:val="Default"/>
        <w:jc w:val="both"/>
        <w:rPr>
          <w:rFonts w:asciiTheme="minorHAnsi" w:hAnsiTheme="minorHAnsi" w:cstheme="minorHAnsi"/>
          <w:color w:val="auto"/>
          <w:sz w:val="20"/>
          <w:szCs w:val="20"/>
          <w:lang w:val="en-GB"/>
        </w:rPr>
      </w:pPr>
      <w:r w:rsidRPr="003077A5">
        <w:rPr>
          <w:rFonts w:asciiTheme="minorHAnsi" w:hAnsiTheme="minorHAnsi" w:cstheme="minorHAnsi"/>
          <w:color w:val="auto"/>
          <w:sz w:val="20"/>
          <w:szCs w:val="20"/>
          <w:lang w:val="en-GB"/>
        </w:rPr>
        <w:lastRenderedPageBreak/>
        <w:t>Compilation of Venice Commission Opinions and Reports concerning Courts</w:t>
      </w:r>
    </w:p>
    <w:p w14:paraId="18D25ECA" w14:textId="77777777" w:rsidR="00456E3E" w:rsidRDefault="00456E3E" w:rsidP="00456E3E">
      <w:pPr>
        <w:pStyle w:val="Default"/>
        <w:jc w:val="both"/>
        <w:rPr>
          <w:rFonts w:asciiTheme="minorHAnsi" w:hAnsiTheme="minorHAnsi" w:cstheme="minorHAnsi"/>
          <w:color w:val="auto"/>
          <w:sz w:val="20"/>
          <w:szCs w:val="20"/>
          <w:lang w:val="en-GB"/>
        </w:rPr>
      </w:pPr>
    </w:p>
    <w:p w14:paraId="598B2274" w14:textId="77777777" w:rsidR="00456E3E" w:rsidRPr="00A2054F" w:rsidRDefault="00000000" w:rsidP="00456E3E">
      <w:pPr>
        <w:pStyle w:val="Default"/>
        <w:rPr>
          <w:rFonts w:asciiTheme="minorHAnsi" w:hAnsiTheme="minorHAnsi" w:cstheme="minorHAnsi"/>
          <w:color w:val="auto"/>
          <w:sz w:val="20"/>
          <w:szCs w:val="20"/>
          <w:lang w:val="en-GB"/>
        </w:rPr>
      </w:pPr>
      <w:hyperlink r:id="rId11" w:history="1">
        <w:r w:rsidR="00456E3E" w:rsidRPr="00A2054F">
          <w:rPr>
            <w:rStyle w:val="Hyperlink"/>
            <w:rFonts w:asciiTheme="minorHAnsi" w:hAnsiTheme="minorHAnsi" w:cstheme="minorHAnsi"/>
            <w:sz w:val="20"/>
            <w:szCs w:val="20"/>
            <w:lang w:val="en-GB"/>
          </w:rPr>
          <w:t>CDL-</w:t>
        </w:r>
        <w:proofErr w:type="gramStart"/>
        <w:r w:rsidR="00456E3E" w:rsidRPr="00A2054F">
          <w:rPr>
            <w:rStyle w:val="Hyperlink"/>
            <w:rFonts w:asciiTheme="minorHAnsi" w:hAnsiTheme="minorHAnsi" w:cstheme="minorHAnsi"/>
            <w:sz w:val="20"/>
            <w:szCs w:val="20"/>
            <w:lang w:val="en-GB"/>
          </w:rPr>
          <w:t>PI(</w:t>
        </w:r>
        <w:proofErr w:type="gramEnd"/>
        <w:r w:rsidR="00456E3E" w:rsidRPr="00A2054F">
          <w:rPr>
            <w:rStyle w:val="Hyperlink"/>
            <w:rFonts w:asciiTheme="minorHAnsi" w:hAnsiTheme="minorHAnsi" w:cstheme="minorHAnsi"/>
            <w:sz w:val="20"/>
            <w:szCs w:val="20"/>
            <w:lang w:val="en-GB"/>
          </w:rPr>
          <w:t>2024)034</w:t>
        </w:r>
      </w:hyperlink>
      <w:r w:rsidR="00456E3E" w:rsidRPr="00A2054F">
        <w:rPr>
          <w:rFonts w:asciiTheme="minorHAnsi" w:hAnsiTheme="minorHAnsi" w:cstheme="minorHAnsi"/>
          <w:color w:val="auto"/>
          <w:sz w:val="20"/>
          <w:szCs w:val="20"/>
          <w:lang w:val="en-GB"/>
        </w:rPr>
        <w:t xml:space="preserve"> </w:t>
      </w:r>
    </w:p>
    <w:p w14:paraId="49B5A963" w14:textId="77777777" w:rsidR="00456E3E" w:rsidRPr="00A2054F" w:rsidRDefault="00456E3E" w:rsidP="00456E3E">
      <w:pPr>
        <w:pStyle w:val="Default"/>
        <w:jc w:val="both"/>
        <w:rPr>
          <w:rFonts w:asciiTheme="minorHAnsi" w:hAnsiTheme="minorHAnsi" w:cstheme="minorHAnsi"/>
          <w:color w:val="auto"/>
          <w:sz w:val="20"/>
          <w:szCs w:val="20"/>
          <w:lang w:val="en-GB"/>
        </w:rPr>
      </w:pPr>
      <w:r w:rsidRPr="00A2054F">
        <w:rPr>
          <w:rFonts w:asciiTheme="minorHAnsi" w:hAnsiTheme="minorHAnsi" w:cstheme="minorHAnsi"/>
          <w:color w:val="auto"/>
          <w:sz w:val="20"/>
          <w:szCs w:val="20"/>
          <w:lang w:val="en-GB"/>
        </w:rPr>
        <w:t xml:space="preserve">Comparative overview of legislation on disciplinary liability of judges and presidents of the constitutional courts in the 46 Council of Europe member States </w:t>
      </w:r>
    </w:p>
    <w:p w14:paraId="356C5752" w14:textId="77777777" w:rsidR="00456E3E" w:rsidRDefault="00456E3E" w:rsidP="00232D49">
      <w:pPr>
        <w:pStyle w:val="NoSpacing"/>
        <w:ind w:firstLine="708"/>
        <w:jc w:val="both"/>
        <w:rPr>
          <w:rStyle w:val="Hyperlink"/>
          <w:rFonts w:ascii="Calibri" w:hAnsi="Calibri" w:cs="Calibri"/>
          <w:lang w:val="en-GB"/>
        </w:rPr>
      </w:pPr>
    </w:p>
    <w:p w14:paraId="504F21FA" w14:textId="77777777" w:rsidR="00F2307E" w:rsidRDefault="00F2307E" w:rsidP="00105C7C">
      <w:pPr>
        <w:pStyle w:val="NoSpacing"/>
        <w:jc w:val="both"/>
        <w:rPr>
          <w:rStyle w:val="Hyperlink"/>
          <w:rFonts w:ascii="Calibri" w:hAnsi="Calibri" w:cs="Calibri"/>
          <w:lang w:val="en-GB"/>
        </w:rPr>
      </w:pPr>
    </w:p>
    <w:p w14:paraId="0EDEE625" w14:textId="77777777" w:rsidR="00F2307E" w:rsidRDefault="00F2307E" w:rsidP="00105C7C">
      <w:pPr>
        <w:pStyle w:val="NoSpacing"/>
        <w:jc w:val="both"/>
        <w:rPr>
          <w:rStyle w:val="Hyperlink"/>
          <w:rFonts w:ascii="Calibri" w:hAnsi="Calibri" w:cs="Calibri"/>
          <w:lang w:val="en-GB"/>
        </w:rPr>
      </w:pPr>
    </w:p>
    <w:p w14:paraId="3CBECA54" w14:textId="254B98E9" w:rsidR="00F2307E" w:rsidRPr="00232D49" w:rsidRDefault="00B56B38" w:rsidP="00F2307E">
      <w:pPr>
        <w:pStyle w:val="COEHI"/>
        <w:numPr>
          <w:ilvl w:val="0"/>
          <w:numId w:val="0"/>
        </w:numPr>
        <w:rPr>
          <w:rFonts w:ascii="Calibri" w:eastAsiaTheme="minorHAnsi" w:hAnsi="Calibri" w:cs="Calibri"/>
          <w:color w:val="auto"/>
          <w:kern w:val="0"/>
          <w:sz w:val="20"/>
          <w:szCs w:val="20"/>
          <w:lang w:val="en-GB"/>
        </w:rPr>
      </w:pPr>
      <w:r w:rsidRPr="00232D49">
        <w:rPr>
          <w:rFonts w:ascii="Calibri" w:eastAsiaTheme="minorHAnsi" w:hAnsi="Calibri" w:cs="Calibri"/>
          <w:color w:val="auto"/>
          <w:kern w:val="0"/>
          <w:sz w:val="20"/>
          <w:szCs w:val="20"/>
          <w:lang w:val="en-GB"/>
        </w:rPr>
        <w:t>I</w:t>
      </w:r>
      <w:r w:rsidR="00F2307E" w:rsidRPr="00232D49">
        <w:rPr>
          <w:rFonts w:ascii="Calibri" w:eastAsiaTheme="minorHAnsi" w:hAnsi="Calibri" w:cs="Calibri"/>
          <w:color w:val="auto"/>
          <w:kern w:val="0"/>
          <w:sz w:val="20"/>
          <w:szCs w:val="20"/>
          <w:lang w:val="en-GB"/>
        </w:rPr>
        <w:t>mplementation of Human Rights, Justice and Legal Co-operation Standards</w:t>
      </w:r>
    </w:p>
    <w:p w14:paraId="7E64C10B" w14:textId="77777777" w:rsidR="00F2307E" w:rsidRPr="00232D49" w:rsidRDefault="00F2307E" w:rsidP="00F2307E">
      <w:pPr>
        <w:jc w:val="both"/>
        <w:rPr>
          <w:rFonts w:ascii="Calibri" w:eastAsiaTheme="minorHAnsi" w:hAnsi="Calibri" w:cs="Calibri"/>
          <w:lang w:val="en-GB" w:eastAsia="fr-FR"/>
        </w:rPr>
      </w:pPr>
    </w:p>
    <w:p w14:paraId="7A4EBC9A" w14:textId="77777777" w:rsidR="00F2307E" w:rsidRPr="00232D49" w:rsidRDefault="00F2307E" w:rsidP="00F2307E">
      <w:pPr>
        <w:pStyle w:val="xxxxxmsonormal"/>
        <w:spacing w:before="0" w:beforeAutospacing="0" w:after="0" w:afterAutospacing="0"/>
        <w:jc w:val="both"/>
        <w:rPr>
          <w:sz w:val="20"/>
          <w:szCs w:val="20"/>
          <w:lang w:val="en-GB"/>
        </w:rPr>
      </w:pPr>
      <w:r w:rsidRPr="00232D49">
        <w:rPr>
          <w:sz w:val="20"/>
          <w:szCs w:val="20"/>
          <w:lang w:val="en-GB"/>
        </w:rPr>
        <w:t xml:space="preserve">In the current context of “democratic backsliding” in Europe, additional efforts should be directed towards cooperation projects concerning digital transformation of justice and use of digital tools focused on modernisation of justice and aiming at improving efficiency through safeguarding the independence of the judiciary </w:t>
      </w:r>
      <w:proofErr w:type="gramStart"/>
      <w:r w:rsidRPr="00232D49">
        <w:rPr>
          <w:sz w:val="20"/>
          <w:szCs w:val="20"/>
          <w:lang w:val="en-GB"/>
        </w:rPr>
        <w:t>in order to</w:t>
      </w:r>
      <w:proofErr w:type="gramEnd"/>
      <w:r w:rsidRPr="00232D49">
        <w:rPr>
          <w:sz w:val="20"/>
          <w:szCs w:val="20"/>
          <w:lang w:val="en-GB"/>
        </w:rPr>
        <w:t xml:space="preserve"> preserve and promote the Rule of law. Justice authorities of member states should be supported in undertaking balancing exercise of attaining level of modernisation while preserving the principles of rule of law and human rights protection.</w:t>
      </w:r>
    </w:p>
    <w:p w14:paraId="39A658A8" w14:textId="77777777" w:rsidR="00F2307E" w:rsidRPr="00232D49" w:rsidRDefault="00F2307E" w:rsidP="00F2307E">
      <w:pPr>
        <w:pStyle w:val="xxxxxmsonormal"/>
        <w:spacing w:before="0" w:beforeAutospacing="0" w:after="0" w:afterAutospacing="0"/>
        <w:jc w:val="both"/>
        <w:rPr>
          <w:sz w:val="20"/>
          <w:szCs w:val="20"/>
          <w:lang w:val="en-GB"/>
        </w:rPr>
      </w:pPr>
    </w:p>
    <w:p w14:paraId="3DA3F07C" w14:textId="77777777" w:rsidR="00F2307E" w:rsidRPr="00232D49" w:rsidRDefault="00F2307E" w:rsidP="00F2307E">
      <w:pPr>
        <w:pStyle w:val="xxxxxmsonormal"/>
        <w:numPr>
          <w:ilvl w:val="0"/>
          <w:numId w:val="9"/>
        </w:numPr>
        <w:spacing w:before="0" w:beforeAutospacing="0" w:after="0" w:afterAutospacing="0"/>
        <w:jc w:val="both"/>
        <w:rPr>
          <w:b/>
          <w:bCs/>
          <w:sz w:val="20"/>
          <w:szCs w:val="20"/>
          <w:lang w:val="en-GB"/>
        </w:rPr>
      </w:pPr>
      <w:r w:rsidRPr="00232D49">
        <w:rPr>
          <w:b/>
          <w:bCs/>
          <w:sz w:val="20"/>
          <w:szCs w:val="20"/>
          <w:lang w:val="en-GB"/>
        </w:rPr>
        <w:t>Digital Transformation for Accessible, Inclusive, and Transparent Justice Systems</w:t>
      </w:r>
    </w:p>
    <w:p w14:paraId="554D9B83" w14:textId="77777777" w:rsidR="00F2307E" w:rsidRPr="00232D49" w:rsidRDefault="00F2307E" w:rsidP="00F2307E">
      <w:pPr>
        <w:pStyle w:val="xxxxxmsonormal"/>
        <w:spacing w:before="0" w:beforeAutospacing="0" w:after="0" w:afterAutospacing="0"/>
        <w:jc w:val="both"/>
        <w:rPr>
          <w:sz w:val="20"/>
          <w:szCs w:val="20"/>
          <w:lang w:val="en-GB"/>
        </w:rPr>
      </w:pPr>
      <w:r w:rsidRPr="00232D49">
        <w:rPr>
          <w:sz w:val="20"/>
          <w:szCs w:val="20"/>
          <w:lang w:val="en-GB"/>
        </w:rPr>
        <w:t>Digital transformation can ensure accessible, inclusive, and transparent justice systems, provided that a balance is struck between technological advancements and the core principles of the rule of law and human rights protection.</w:t>
      </w:r>
    </w:p>
    <w:p w14:paraId="1D53E1F5" w14:textId="77777777" w:rsidR="00F2307E" w:rsidRPr="00232D49" w:rsidRDefault="00F2307E" w:rsidP="00F2307E">
      <w:pPr>
        <w:pStyle w:val="xxxxxmsonormal"/>
        <w:spacing w:before="0" w:beforeAutospacing="0" w:after="0" w:afterAutospacing="0"/>
        <w:jc w:val="both"/>
        <w:rPr>
          <w:b/>
          <w:bCs/>
          <w:sz w:val="20"/>
          <w:szCs w:val="20"/>
          <w:lang w:val="en-GB"/>
        </w:rPr>
      </w:pPr>
    </w:p>
    <w:p w14:paraId="36104706" w14:textId="77777777" w:rsidR="00F2307E" w:rsidRPr="00232D49" w:rsidRDefault="00F2307E" w:rsidP="00F2307E">
      <w:pPr>
        <w:pStyle w:val="xxxxxmsonormal"/>
        <w:numPr>
          <w:ilvl w:val="0"/>
          <w:numId w:val="9"/>
        </w:numPr>
        <w:spacing w:before="0" w:beforeAutospacing="0" w:after="0" w:afterAutospacing="0"/>
        <w:jc w:val="both"/>
        <w:rPr>
          <w:b/>
          <w:bCs/>
          <w:sz w:val="20"/>
          <w:szCs w:val="20"/>
          <w:lang w:val="en-GB"/>
        </w:rPr>
      </w:pPr>
      <w:r w:rsidRPr="00232D49">
        <w:rPr>
          <w:b/>
          <w:bCs/>
          <w:sz w:val="20"/>
          <w:szCs w:val="20"/>
          <w:lang w:val="en-GB"/>
        </w:rPr>
        <w:t>The Role of Digital Tools in Ensuring Equal Access to Justice</w:t>
      </w:r>
    </w:p>
    <w:p w14:paraId="298194E9" w14:textId="77777777" w:rsidR="00F2307E" w:rsidRPr="00232D49" w:rsidRDefault="00F2307E" w:rsidP="00F2307E">
      <w:pPr>
        <w:pStyle w:val="xxxxxmsonormal"/>
        <w:spacing w:before="0" w:beforeAutospacing="0" w:after="0" w:afterAutospacing="0"/>
        <w:jc w:val="both"/>
        <w:rPr>
          <w:sz w:val="20"/>
          <w:szCs w:val="20"/>
          <w:lang w:val="en-GB"/>
        </w:rPr>
      </w:pPr>
      <w:r w:rsidRPr="00232D49">
        <w:rPr>
          <w:sz w:val="20"/>
          <w:szCs w:val="20"/>
          <w:lang w:val="en-GB"/>
        </w:rPr>
        <w:t>The use of digital tools among justice actors, particularly in EU member states and candidate countries for EU accession, could play a crucial role in ensuring equal access to justice for all. The employment of such tools requires revisions of national legislative and regulatory frameworks, striking a balance between upholding core principles of the rule of law and human rights protection, with due consideration to data protection and privacy concerns.</w:t>
      </w:r>
    </w:p>
    <w:p w14:paraId="6B3A7F6A" w14:textId="77777777" w:rsidR="00F2307E" w:rsidRPr="00232D49" w:rsidRDefault="00F2307E" w:rsidP="00F2307E">
      <w:pPr>
        <w:pStyle w:val="xxxxxmsonormal"/>
        <w:spacing w:before="0" w:beforeAutospacing="0" w:after="0" w:afterAutospacing="0"/>
        <w:jc w:val="both"/>
        <w:rPr>
          <w:sz w:val="20"/>
          <w:szCs w:val="20"/>
          <w:lang w:val="en-GB"/>
        </w:rPr>
      </w:pPr>
    </w:p>
    <w:p w14:paraId="3E36FE5E" w14:textId="77777777" w:rsidR="00F2307E" w:rsidRPr="00232D49" w:rsidRDefault="00F2307E" w:rsidP="00F2307E">
      <w:pPr>
        <w:pStyle w:val="xxxxxmsonormal"/>
        <w:numPr>
          <w:ilvl w:val="0"/>
          <w:numId w:val="9"/>
        </w:numPr>
        <w:spacing w:before="0" w:beforeAutospacing="0" w:after="0" w:afterAutospacing="0"/>
        <w:jc w:val="both"/>
        <w:rPr>
          <w:b/>
          <w:bCs/>
          <w:sz w:val="20"/>
          <w:szCs w:val="20"/>
          <w:lang w:val="en-GB"/>
        </w:rPr>
      </w:pPr>
      <w:r w:rsidRPr="00232D49">
        <w:rPr>
          <w:b/>
          <w:bCs/>
          <w:sz w:val="20"/>
          <w:szCs w:val="20"/>
          <w:lang w:val="en-GB"/>
        </w:rPr>
        <w:t xml:space="preserve">Digitalisation and the Right to a Fair Trial </w:t>
      </w:r>
    </w:p>
    <w:p w14:paraId="5EC93589" w14:textId="77777777" w:rsidR="00F2307E" w:rsidRPr="00232D49" w:rsidRDefault="00F2307E" w:rsidP="00F2307E">
      <w:pPr>
        <w:pStyle w:val="xxxxxmsonormal"/>
        <w:spacing w:before="0" w:beforeAutospacing="0" w:after="0" w:afterAutospacing="0"/>
        <w:jc w:val="both"/>
        <w:rPr>
          <w:sz w:val="20"/>
          <w:szCs w:val="20"/>
          <w:lang w:val="en-GB"/>
        </w:rPr>
      </w:pPr>
      <w:r w:rsidRPr="00232D49">
        <w:rPr>
          <w:sz w:val="20"/>
          <w:szCs w:val="20"/>
          <w:lang w:val="en-GB"/>
        </w:rPr>
        <w:t>Digitalisation of the justice system is increasingly becoming a substantive part of the right to a fair trial, where legal remedies should be available for the abuse of digital technology. Balance must be struck among a variety of interests, such as the right to personal data protection and the right to publish court decisions to ensure the transparency of the justice system. It is also vital to address challenges in the use of digital tools posed by the digital divide, particularly for vulnerable groups, including the elderly, people living in poverty, or those in remote areas.</w:t>
      </w:r>
    </w:p>
    <w:p w14:paraId="6817BD5B" w14:textId="77777777" w:rsidR="00F2307E" w:rsidRPr="00232D49" w:rsidRDefault="00F2307E" w:rsidP="00F2307E">
      <w:pPr>
        <w:pStyle w:val="xxxxxmsonormal"/>
        <w:spacing w:before="0" w:beforeAutospacing="0" w:after="0" w:afterAutospacing="0"/>
        <w:jc w:val="both"/>
        <w:rPr>
          <w:sz w:val="20"/>
          <w:szCs w:val="20"/>
          <w:lang w:val="en-GB"/>
        </w:rPr>
      </w:pPr>
    </w:p>
    <w:p w14:paraId="71C83E2C" w14:textId="77777777" w:rsidR="00F2307E" w:rsidRPr="00232D49" w:rsidRDefault="00F2307E" w:rsidP="00F2307E">
      <w:pPr>
        <w:pStyle w:val="xxxxxmsonormal"/>
        <w:numPr>
          <w:ilvl w:val="0"/>
          <w:numId w:val="9"/>
        </w:numPr>
        <w:spacing w:before="0" w:beforeAutospacing="0" w:after="0" w:afterAutospacing="0"/>
        <w:jc w:val="both"/>
        <w:rPr>
          <w:b/>
          <w:bCs/>
          <w:sz w:val="20"/>
          <w:szCs w:val="20"/>
          <w:lang w:val="en-GB"/>
        </w:rPr>
      </w:pPr>
      <w:r w:rsidRPr="00232D49">
        <w:rPr>
          <w:b/>
          <w:bCs/>
          <w:sz w:val="20"/>
          <w:szCs w:val="20"/>
          <w:lang w:val="en-GB"/>
        </w:rPr>
        <w:t>The Impact of Uneven Digital Development on EU Accession</w:t>
      </w:r>
    </w:p>
    <w:p w14:paraId="2A061054" w14:textId="77777777" w:rsidR="00F2307E" w:rsidRPr="00232D49" w:rsidRDefault="00F2307E" w:rsidP="00F2307E">
      <w:pPr>
        <w:pStyle w:val="xxxxxmsonormal"/>
        <w:spacing w:before="0" w:beforeAutospacing="0" w:after="0" w:afterAutospacing="0"/>
        <w:jc w:val="both"/>
        <w:rPr>
          <w:sz w:val="20"/>
          <w:szCs w:val="20"/>
          <w:lang w:val="en-GB"/>
        </w:rPr>
      </w:pPr>
      <w:r w:rsidRPr="00232D49">
        <w:rPr>
          <w:sz w:val="20"/>
          <w:szCs w:val="20"/>
          <w:lang w:val="en-GB"/>
        </w:rPr>
        <w:t>Uneven digital development between EU member states and candidate countries for EU accession could slow down the latter’s progress toward future EU membership.</w:t>
      </w:r>
    </w:p>
    <w:p w14:paraId="45AD212F" w14:textId="77777777" w:rsidR="00F2307E" w:rsidRDefault="00F2307E" w:rsidP="00F2307E">
      <w:pPr>
        <w:pStyle w:val="xxxxxmsonormal"/>
        <w:spacing w:before="0" w:beforeAutospacing="0" w:after="0" w:afterAutospacing="0"/>
        <w:jc w:val="both"/>
        <w:rPr>
          <w:lang w:val="en-GB"/>
        </w:rPr>
      </w:pPr>
    </w:p>
    <w:p w14:paraId="7D7EBD69" w14:textId="77777777" w:rsidR="00F2307E" w:rsidRDefault="00F2307E" w:rsidP="00105C7C">
      <w:pPr>
        <w:pStyle w:val="NoSpacing"/>
        <w:jc w:val="both"/>
        <w:rPr>
          <w:rStyle w:val="Hyperlink"/>
          <w:rFonts w:ascii="Calibri" w:hAnsi="Calibri" w:cs="Calibri"/>
          <w:lang w:val="en-GB"/>
        </w:rPr>
      </w:pPr>
    </w:p>
    <w:p w14:paraId="537B5027" w14:textId="77777777" w:rsidR="00F2307E" w:rsidRPr="00456E3E" w:rsidRDefault="00F2307E" w:rsidP="00105C7C">
      <w:pPr>
        <w:pStyle w:val="NoSpacing"/>
        <w:jc w:val="both"/>
        <w:rPr>
          <w:rStyle w:val="Hyperlink"/>
          <w:rFonts w:ascii="Calibri" w:hAnsi="Calibri" w:cs="Calibri"/>
          <w:lang w:val="en-GB"/>
        </w:rPr>
      </w:pPr>
    </w:p>
    <w:p w14:paraId="60199F83" w14:textId="77777777" w:rsidR="00456E3E" w:rsidRDefault="00456E3E" w:rsidP="00105C7C">
      <w:pPr>
        <w:pStyle w:val="NoSpacing"/>
        <w:jc w:val="both"/>
        <w:rPr>
          <w:rStyle w:val="Hyperlink"/>
          <w:rFonts w:ascii="Calibri" w:hAnsi="Calibri" w:cs="Calibri"/>
          <w:lang w:val="en-US"/>
        </w:rPr>
      </w:pPr>
    </w:p>
    <w:p w14:paraId="324A4D00" w14:textId="77777777" w:rsidR="003B6499" w:rsidRDefault="003B6499" w:rsidP="003B6499">
      <w:pPr>
        <w:rPr>
          <w:rFonts w:asciiTheme="majorHAnsi" w:eastAsiaTheme="majorEastAsia" w:hAnsiTheme="majorHAnsi" w:cstheme="majorBidi"/>
          <w:color w:val="2F5496" w:themeColor="accent1" w:themeShade="BF"/>
          <w:sz w:val="32"/>
          <w:szCs w:val="32"/>
          <w:lang w:val="en-US"/>
        </w:rPr>
      </w:pPr>
      <w:bookmarkStart w:id="5" w:name="_Toc36635832"/>
      <w:r w:rsidRPr="003B6499">
        <w:rPr>
          <w:rFonts w:asciiTheme="majorHAnsi" w:eastAsiaTheme="majorEastAsia" w:hAnsiTheme="majorHAnsi" w:cstheme="majorBidi"/>
          <w:color w:val="2F5496" w:themeColor="accent1" w:themeShade="BF"/>
          <w:sz w:val="32"/>
          <w:szCs w:val="32"/>
          <w:lang w:val="en-US"/>
        </w:rPr>
        <w:t>II Anti-corruption framework</w:t>
      </w:r>
      <w:bookmarkEnd w:id="5"/>
      <w:r w:rsidRPr="003B6499">
        <w:rPr>
          <w:rFonts w:asciiTheme="majorHAnsi" w:eastAsiaTheme="majorEastAsia" w:hAnsiTheme="majorHAnsi" w:cstheme="majorBidi"/>
          <w:color w:val="2F5496" w:themeColor="accent1" w:themeShade="BF"/>
          <w:sz w:val="32"/>
          <w:szCs w:val="32"/>
          <w:lang w:val="en-US"/>
        </w:rPr>
        <w:t xml:space="preserve"> </w:t>
      </w:r>
    </w:p>
    <w:p w14:paraId="32AE9BEC" w14:textId="77777777" w:rsidR="00A72C9D" w:rsidRPr="003B6499" w:rsidRDefault="00A72C9D" w:rsidP="003B6499">
      <w:pPr>
        <w:rPr>
          <w:rFonts w:asciiTheme="majorHAnsi" w:eastAsiaTheme="majorEastAsia" w:hAnsiTheme="majorHAnsi" w:cstheme="majorBidi"/>
          <w:color w:val="2F5496" w:themeColor="accent1" w:themeShade="BF"/>
          <w:sz w:val="32"/>
          <w:szCs w:val="32"/>
          <w:lang w:val="en-US"/>
        </w:rPr>
      </w:pPr>
    </w:p>
    <w:p w14:paraId="7A288AAA" w14:textId="77777777" w:rsidR="00A72C9D" w:rsidRPr="00F2307E" w:rsidRDefault="00A72C9D" w:rsidP="00A72C9D">
      <w:pPr>
        <w:pStyle w:val="NoSpacing"/>
        <w:jc w:val="both"/>
        <w:rPr>
          <w:rFonts w:eastAsiaTheme="minorHAnsi"/>
          <w:lang w:val="en-US"/>
        </w:rPr>
      </w:pPr>
      <w:r w:rsidRPr="00F2307E">
        <w:rPr>
          <w:rFonts w:eastAsiaTheme="minorHAnsi"/>
          <w:lang w:val="en-US"/>
        </w:rPr>
        <w:t>Venice Commission</w:t>
      </w:r>
    </w:p>
    <w:p w14:paraId="6778BF6E" w14:textId="77777777" w:rsidR="003B6499" w:rsidRDefault="003B6499" w:rsidP="003B6499">
      <w:pPr>
        <w:rPr>
          <w:rFonts w:asciiTheme="majorHAnsi" w:eastAsiaTheme="majorEastAsia" w:hAnsiTheme="majorHAnsi" w:cstheme="majorBidi"/>
          <w:color w:val="2F5496" w:themeColor="accent1" w:themeShade="BF"/>
          <w:sz w:val="32"/>
          <w:szCs w:val="32"/>
          <w:lang w:val="en-US"/>
        </w:rPr>
      </w:pPr>
    </w:p>
    <w:p w14:paraId="3263EEDD" w14:textId="77777777" w:rsidR="00A72C9D" w:rsidRDefault="00A72C9D" w:rsidP="00A72C9D">
      <w:pPr>
        <w:pStyle w:val="Default"/>
        <w:jc w:val="both"/>
        <w:rPr>
          <w:rFonts w:asciiTheme="minorHAnsi" w:hAnsiTheme="minorHAnsi" w:cstheme="minorHAnsi"/>
          <w:color w:val="auto"/>
          <w:sz w:val="20"/>
          <w:szCs w:val="20"/>
          <w:lang w:val="en-US"/>
        </w:rPr>
      </w:pPr>
      <w:r w:rsidRPr="00493429">
        <w:rPr>
          <w:rFonts w:asciiTheme="minorHAnsi" w:hAnsiTheme="minorHAnsi" w:cstheme="minorHAnsi"/>
          <w:color w:val="auto"/>
          <w:sz w:val="20"/>
          <w:szCs w:val="20"/>
          <w:lang w:val="en-US"/>
        </w:rPr>
        <w:t xml:space="preserve">The </w:t>
      </w:r>
      <w:r>
        <w:rPr>
          <w:rFonts w:asciiTheme="minorHAnsi" w:hAnsiTheme="minorHAnsi" w:cstheme="minorHAnsi"/>
          <w:color w:val="auto"/>
          <w:sz w:val="20"/>
          <w:szCs w:val="20"/>
          <w:lang w:val="en-US"/>
        </w:rPr>
        <w:t>‘</w:t>
      </w:r>
      <w:r w:rsidRPr="00493429">
        <w:rPr>
          <w:rFonts w:asciiTheme="minorHAnsi" w:hAnsiTheme="minorHAnsi" w:cstheme="minorHAnsi"/>
          <w:color w:val="auto"/>
          <w:sz w:val="20"/>
          <w:szCs w:val="20"/>
          <w:lang w:val="en-US"/>
        </w:rPr>
        <w:t>2024 Rule of Law Report - The rule of law situation in the European Union</w:t>
      </w:r>
      <w:r>
        <w:rPr>
          <w:rFonts w:asciiTheme="minorHAnsi" w:hAnsiTheme="minorHAnsi" w:cstheme="minorHAnsi"/>
          <w:color w:val="auto"/>
          <w:sz w:val="20"/>
          <w:szCs w:val="20"/>
          <w:lang w:val="en-US"/>
        </w:rPr>
        <w:t>’</w:t>
      </w:r>
      <w:r w:rsidRPr="00493429">
        <w:rPr>
          <w:rFonts w:asciiTheme="minorHAnsi" w:hAnsiTheme="minorHAnsi" w:cstheme="minorHAnsi"/>
          <w:color w:val="auto"/>
          <w:sz w:val="20"/>
          <w:szCs w:val="20"/>
          <w:lang w:val="en-US"/>
        </w:rPr>
        <w:t xml:space="preserve"> (</w:t>
      </w:r>
      <w:r>
        <w:rPr>
          <w:rFonts w:asciiTheme="minorHAnsi" w:hAnsiTheme="minorHAnsi" w:cstheme="minorHAnsi"/>
          <w:color w:val="auto"/>
          <w:sz w:val="20"/>
          <w:szCs w:val="20"/>
          <w:lang w:val="en-US"/>
        </w:rPr>
        <w:t>note 115</w:t>
      </w:r>
      <w:r w:rsidRPr="00493429">
        <w:rPr>
          <w:rFonts w:asciiTheme="minorHAnsi" w:hAnsiTheme="minorHAnsi" w:cstheme="minorHAnsi"/>
          <w:color w:val="auto"/>
          <w:sz w:val="20"/>
          <w:szCs w:val="20"/>
          <w:lang w:val="en-US"/>
        </w:rPr>
        <w:t>)</w:t>
      </w:r>
      <w:r>
        <w:rPr>
          <w:rFonts w:asciiTheme="minorHAnsi" w:hAnsiTheme="minorHAnsi" w:cstheme="minorHAnsi"/>
          <w:color w:val="auto"/>
          <w:sz w:val="20"/>
          <w:szCs w:val="20"/>
          <w:lang w:val="en-US"/>
        </w:rPr>
        <w:t xml:space="preserve"> mentions</w:t>
      </w:r>
      <w:r w:rsidRPr="00493429">
        <w:rPr>
          <w:rFonts w:asciiTheme="minorHAnsi" w:hAnsiTheme="minorHAnsi" w:cstheme="minorHAnsi"/>
          <w:color w:val="auto"/>
          <w:sz w:val="20"/>
          <w:szCs w:val="20"/>
          <w:lang w:val="en-US"/>
        </w:rPr>
        <w:t xml:space="preserve">: </w:t>
      </w:r>
    </w:p>
    <w:p w14:paraId="3ECF521A" w14:textId="77777777" w:rsidR="00A72C9D" w:rsidRDefault="00A72C9D" w:rsidP="00A72C9D">
      <w:pPr>
        <w:pStyle w:val="Default"/>
        <w:jc w:val="both"/>
        <w:rPr>
          <w:rFonts w:asciiTheme="minorHAnsi" w:hAnsiTheme="minorHAnsi" w:cstheme="minorHAnsi"/>
          <w:color w:val="auto"/>
          <w:sz w:val="20"/>
          <w:szCs w:val="20"/>
          <w:lang w:val="en-US"/>
        </w:rPr>
      </w:pPr>
    </w:p>
    <w:p w14:paraId="328D83AA" w14:textId="77777777" w:rsidR="00A72C9D" w:rsidRDefault="00A72C9D" w:rsidP="00A72C9D">
      <w:pPr>
        <w:pStyle w:val="Default"/>
        <w:jc w:val="both"/>
        <w:rPr>
          <w:rFonts w:asciiTheme="minorHAnsi" w:hAnsiTheme="minorHAnsi" w:cstheme="minorHAnsi"/>
          <w:color w:val="auto"/>
          <w:sz w:val="20"/>
          <w:szCs w:val="20"/>
          <w:lang w:val="en-GB"/>
        </w:rPr>
      </w:pPr>
      <w:r>
        <w:fldChar w:fldCharType="begin"/>
      </w:r>
      <w:r w:rsidRPr="0015253B">
        <w:rPr>
          <w:lang w:val="en-GB"/>
          <w:rPrChange w:id="6" w:author="DANIELL Saskia" w:date="2025-01-31T13:04:00Z">
            <w:rPr/>
          </w:rPrChange>
        </w:rPr>
        <w:instrText>HYPERLINK "https://www.venice.coe.int/webforms/documents/default.aspx?pdffile=CDL-AD(2019)002-e"</w:instrText>
      </w:r>
      <w:r>
        <w:fldChar w:fldCharType="separate"/>
      </w:r>
      <w:r w:rsidRPr="00493429">
        <w:rPr>
          <w:rStyle w:val="Hyperlink"/>
          <w:rFonts w:asciiTheme="minorHAnsi" w:hAnsiTheme="minorHAnsi" w:cstheme="minorHAnsi"/>
          <w:sz w:val="20"/>
          <w:szCs w:val="20"/>
          <w:lang w:val="en-GB"/>
        </w:rPr>
        <w:t>CDL-</w:t>
      </w:r>
      <w:proofErr w:type="gramStart"/>
      <w:r w:rsidRPr="00493429">
        <w:rPr>
          <w:rStyle w:val="Hyperlink"/>
          <w:rFonts w:asciiTheme="minorHAnsi" w:hAnsiTheme="minorHAnsi" w:cstheme="minorHAnsi"/>
          <w:sz w:val="20"/>
          <w:szCs w:val="20"/>
          <w:lang w:val="en-GB"/>
        </w:rPr>
        <w:t>AD(</w:t>
      </w:r>
      <w:proofErr w:type="gramEnd"/>
      <w:r w:rsidRPr="00493429">
        <w:rPr>
          <w:rStyle w:val="Hyperlink"/>
          <w:rFonts w:asciiTheme="minorHAnsi" w:hAnsiTheme="minorHAnsi" w:cstheme="minorHAnsi"/>
          <w:sz w:val="20"/>
          <w:szCs w:val="20"/>
          <w:lang w:val="en-GB"/>
        </w:rPr>
        <w:t>2019)002-e</w:t>
      </w:r>
      <w:r>
        <w:rPr>
          <w:rStyle w:val="Hyperlink"/>
          <w:rFonts w:asciiTheme="minorHAnsi" w:hAnsiTheme="minorHAnsi" w:cstheme="minorHAnsi"/>
          <w:sz w:val="20"/>
          <w:szCs w:val="20"/>
          <w:lang w:val="en-GB"/>
        </w:rPr>
        <w:fldChar w:fldCharType="end"/>
      </w:r>
      <w:r w:rsidRPr="00493429">
        <w:rPr>
          <w:rFonts w:asciiTheme="minorHAnsi" w:hAnsiTheme="minorHAnsi" w:cstheme="minorHAnsi"/>
          <w:color w:val="auto"/>
          <w:sz w:val="20"/>
          <w:szCs w:val="20"/>
          <w:lang w:val="en-GB"/>
        </w:rPr>
        <w:br/>
        <w:t>Report on funding of associations, adopted by the Venice Commission at its 118th Plenary Session (Venice, 15-16 March 2019)</w:t>
      </w:r>
    </w:p>
    <w:p w14:paraId="7A00F0E3" w14:textId="77777777" w:rsidR="00A72C9D" w:rsidRDefault="00A72C9D" w:rsidP="00A72C9D">
      <w:pPr>
        <w:pStyle w:val="Default"/>
        <w:jc w:val="both"/>
        <w:rPr>
          <w:rFonts w:asciiTheme="minorHAnsi" w:hAnsiTheme="minorHAnsi" w:cstheme="minorHAnsi"/>
          <w:color w:val="auto"/>
          <w:sz w:val="20"/>
          <w:szCs w:val="20"/>
          <w:lang w:val="en-GB"/>
        </w:rPr>
      </w:pPr>
    </w:p>
    <w:p w14:paraId="11263665" w14:textId="77777777" w:rsidR="00A72C9D" w:rsidRDefault="00A72C9D" w:rsidP="00A72C9D">
      <w:pPr>
        <w:pStyle w:val="Default"/>
        <w:jc w:val="both"/>
        <w:rPr>
          <w:rFonts w:asciiTheme="minorHAnsi" w:hAnsiTheme="minorHAnsi" w:cstheme="minorHAnsi"/>
          <w:color w:val="auto"/>
          <w:sz w:val="20"/>
          <w:szCs w:val="20"/>
          <w:lang w:val="en-GB"/>
        </w:rPr>
      </w:pPr>
      <w:r>
        <w:lastRenderedPageBreak/>
        <w:fldChar w:fldCharType="begin"/>
      </w:r>
      <w:r w:rsidRPr="0015253B">
        <w:rPr>
          <w:lang w:val="en-GB"/>
          <w:rPrChange w:id="7" w:author="DANIELL Saskia" w:date="2025-01-31T13:04:00Z">
            <w:rPr/>
          </w:rPrChange>
        </w:rPr>
        <w:instrText>HYPERLINK "https://www.venice.coe.int/webforms/documents/default.aspx?pdffile=CDL-PI(2024)013-e"</w:instrText>
      </w:r>
      <w:r>
        <w:fldChar w:fldCharType="separate"/>
      </w:r>
      <w:r w:rsidRPr="00493429">
        <w:rPr>
          <w:rStyle w:val="Hyperlink"/>
          <w:rFonts w:asciiTheme="minorHAnsi" w:hAnsiTheme="minorHAnsi" w:cstheme="minorHAnsi"/>
          <w:sz w:val="20"/>
          <w:szCs w:val="20"/>
          <w:lang w:val="en-GB"/>
        </w:rPr>
        <w:t>CDL-</w:t>
      </w:r>
      <w:proofErr w:type="gramStart"/>
      <w:r w:rsidRPr="00493429">
        <w:rPr>
          <w:rStyle w:val="Hyperlink"/>
          <w:rFonts w:asciiTheme="minorHAnsi" w:hAnsiTheme="minorHAnsi" w:cstheme="minorHAnsi"/>
          <w:sz w:val="20"/>
          <w:szCs w:val="20"/>
          <w:lang w:val="en-GB"/>
        </w:rPr>
        <w:t>PI(</w:t>
      </w:r>
      <w:proofErr w:type="gramEnd"/>
      <w:r w:rsidRPr="00493429">
        <w:rPr>
          <w:rStyle w:val="Hyperlink"/>
          <w:rFonts w:asciiTheme="minorHAnsi" w:hAnsiTheme="minorHAnsi" w:cstheme="minorHAnsi"/>
          <w:sz w:val="20"/>
          <w:szCs w:val="20"/>
          <w:lang w:val="en-GB"/>
        </w:rPr>
        <w:t>2024)013-e</w:t>
      </w:r>
      <w:r>
        <w:rPr>
          <w:rStyle w:val="Hyperlink"/>
          <w:rFonts w:asciiTheme="minorHAnsi" w:hAnsiTheme="minorHAnsi" w:cstheme="minorHAnsi"/>
          <w:sz w:val="20"/>
          <w:szCs w:val="20"/>
          <w:lang w:val="en-GB"/>
        </w:rPr>
        <w:fldChar w:fldCharType="end"/>
      </w:r>
      <w:r w:rsidRPr="00493429">
        <w:rPr>
          <w:rFonts w:asciiTheme="minorHAnsi" w:hAnsiTheme="minorHAnsi" w:cstheme="minorHAnsi"/>
          <w:color w:val="auto"/>
          <w:sz w:val="20"/>
          <w:szCs w:val="20"/>
          <w:lang w:val="en-GB"/>
        </w:rPr>
        <w:br/>
        <w:t>Georgia - Urgent Opinion on the Law of Georgia on Transparency of Foreign Influence</w:t>
      </w:r>
    </w:p>
    <w:p w14:paraId="020172F9" w14:textId="77777777" w:rsidR="00A72C9D" w:rsidRDefault="00A72C9D" w:rsidP="00A72C9D">
      <w:pPr>
        <w:pStyle w:val="Default"/>
        <w:jc w:val="both"/>
        <w:rPr>
          <w:rFonts w:asciiTheme="minorHAnsi" w:hAnsiTheme="minorHAnsi" w:cstheme="minorHAnsi"/>
          <w:color w:val="auto"/>
          <w:sz w:val="20"/>
          <w:szCs w:val="20"/>
          <w:lang w:val="en-GB"/>
        </w:rPr>
      </w:pPr>
    </w:p>
    <w:p w14:paraId="0CA4695E" w14:textId="77777777" w:rsidR="00A72C9D" w:rsidRPr="00493429" w:rsidRDefault="00A72C9D" w:rsidP="00A72C9D">
      <w:pPr>
        <w:pStyle w:val="Default"/>
        <w:rPr>
          <w:rFonts w:asciiTheme="minorHAnsi" w:hAnsiTheme="minorHAnsi" w:cstheme="minorHAnsi"/>
          <w:color w:val="auto"/>
          <w:sz w:val="20"/>
          <w:szCs w:val="20"/>
          <w:lang w:val="en-GB"/>
        </w:rPr>
      </w:pPr>
      <w:r>
        <w:fldChar w:fldCharType="begin"/>
      </w:r>
      <w:r w:rsidRPr="00A0677D">
        <w:rPr>
          <w:lang w:val="en-GB"/>
          <w:rPrChange w:id="8" w:author="DANIELL Saskia" w:date="2025-01-30T19:03:00Z">
            <w:rPr/>
          </w:rPrChange>
        </w:rPr>
        <w:instrText>HYPERLINK "https://www.venice.coe.int/webforms/documents/default.aspx?pdffile=CDL-AD(2024)001-e"</w:instrText>
      </w:r>
      <w:r>
        <w:fldChar w:fldCharType="separate"/>
      </w:r>
      <w:r w:rsidRPr="00493429">
        <w:rPr>
          <w:rStyle w:val="Hyperlink"/>
          <w:rFonts w:asciiTheme="minorHAnsi" w:hAnsiTheme="minorHAnsi" w:cstheme="minorHAnsi"/>
          <w:sz w:val="20"/>
          <w:szCs w:val="20"/>
          <w:lang w:val="en-GB"/>
        </w:rPr>
        <w:t>CDL-</w:t>
      </w:r>
      <w:proofErr w:type="gramStart"/>
      <w:r w:rsidRPr="00493429">
        <w:rPr>
          <w:rStyle w:val="Hyperlink"/>
          <w:rFonts w:asciiTheme="minorHAnsi" w:hAnsiTheme="minorHAnsi" w:cstheme="minorHAnsi"/>
          <w:sz w:val="20"/>
          <w:szCs w:val="20"/>
          <w:lang w:val="en-GB"/>
        </w:rPr>
        <w:t>AD(</w:t>
      </w:r>
      <w:proofErr w:type="gramEnd"/>
      <w:r w:rsidRPr="00493429">
        <w:rPr>
          <w:rStyle w:val="Hyperlink"/>
          <w:rFonts w:asciiTheme="minorHAnsi" w:hAnsiTheme="minorHAnsi" w:cstheme="minorHAnsi"/>
          <w:sz w:val="20"/>
          <w:szCs w:val="20"/>
          <w:lang w:val="en-GB"/>
        </w:rPr>
        <w:t>2024)001-e</w:t>
      </w:r>
      <w:r>
        <w:rPr>
          <w:rStyle w:val="Hyperlink"/>
          <w:rFonts w:asciiTheme="minorHAnsi" w:hAnsiTheme="minorHAnsi" w:cstheme="minorHAnsi"/>
          <w:sz w:val="20"/>
          <w:szCs w:val="20"/>
          <w:lang w:val="en-GB"/>
        </w:rPr>
        <w:fldChar w:fldCharType="end"/>
      </w:r>
    </w:p>
    <w:p w14:paraId="1A6AE364" w14:textId="77777777" w:rsidR="00A72C9D" w:rsidRDefault="00A72C9D" w:rsidP="00A72C9D">
      <w:pPr>
        <w:pStyle w:val="Default"/>
        <w:jc w:val="both"/>
        <w:rPr>
          <w:rFonts w:asciiTheme="minorHAnsi" w:hAnsiTheme="minorHAnsi" w:cstheme="minorHAnsi"/>
          <w:color w:val="auto"/>
          <w:sz w:val="20"/>
          <w:szCs w:val="20"/>
          <w:lang w:val="en-GB"/>
        </w:rPr>
      </w:pPr>
      <w:r w:rsidRPr="00493429">
        <w:rPr>
          <w:rFonts w:asciiTheme="minorHAnsi" w:hAnsiTheme="minorHAnsi" w:cstheme="minorHAnsi"/>
          <w:color w:val="auto"/>
          <w:sz w:val="20"/>
          <w:szCs w:val="20"/>
          <w:lang w:val="en-GB"/>
        </w:rPr>
        <w:t>Hungary - Opinion on Act LXXXVIII of 2023 on the Protection of National Sovereignty, adopted by the Venice Commission at its 138th Plenary Session (Venice, 15-16 March 2024)</w:t>
      </w:r>
    </w:p>
    <w:p w14:paraId="11A22C31" w14:textId="77777777" w:rsidR="00A72C9D" w:rsidRDefault="00A72C9D" w:rsidP="00A72C9D">
      <w:pPr>
        <w:pStyle w:val="Default"/>
        <w:jc w:val="both"/>
        <w:rPr>
          <w:rFonts w:asciiTheme="minorHAnsi" w:hAnsiTheme="minorHAnsi" w:cstheme="minorHAnsi"/>
          <w:color w:val="auto"/>
          <w:sz w:val="20"/>
          <w:szCs w:val="20"/>
          <w:lang w:val="en-GB"/>
        </w:rPr>
      </w:pPr>
    </w:p>
    <w:p w14:paraId="1586193A" w14:textId="77777777" w:rsidR="00A72C9D" w:rsidRPr="001C18E6" w:rsidRDefault="00A72C9D" w:rsidP="00A72C9D">
      <w:pPr>
        <w:pStyle w:val="Default"/>
        <w:jc w:val="both"/>
        <w:rPr>
          <w:rFonts w:asciiTheme="minorHAnsi" w:hAnsiTheme="minorHAnsi" w:cstheme="minorHAnsi"/>
          <w:color w:val="auto"/>
          <w:sz w:val="20"/>
          <w:szCs w:val="20"/>
          <w:lang w:val="en-GB"/>
        </w:rPr>
      </w:pPr>
      <w:r w:rsidRPr="001C18E6">
        <w:rPr>
          <w:rFonts w:asciiTheme="minorHAnsi" w:hAnsiTheme="minorHAnsi" w:cstheme="minorHAnsi"/>
          <w:color w:val="auto"/>
          <w:sz w:val="20"/>
          <w:szCs w:val="20"/>
          <w:lang w:val="en-GB"/>
        </w:rPr>
        <w:t>See also:</w:t>
      </w:r>
    </w:p>
    <w:p w14:paraId="5482717E" w14:textId="77777777" w:rsidR="00A72C9D" w:rsidRPr="001C18E6" w:rsidRDefault="00A72C9D" w:rsidP="00A72C9D">
      <w:pPr>
        <w:pStyle w:val="Default"/>
        <w:jc w:val="both"/>
        <w:rPr>
          <w:rFonts w:asciiTheme="minorHAnsi" w:hAnsiTheme="minorHAnsi" w:cstheme="minorHAnsi"/>
          <w:color w:val="auto"/>
          <w:sz w:val="20"/>
          <w:szCs w:val="20"/>
          <w:lang w:val="en-GB"/>
        </w:rPr>
      </w:pPr>
    </w:p>
    <w:p w14:paraId="2B48BF6F" w14:textId="77777777" w:rsidR="00A72C9D" w:rsidRDefault="00A72C9D" w:rsidP="00A72C9D">
      <w:pPr>
        <w:pStyle w:val="Default"/>
        <w:jc w:val="both"/>
        <w:rPr>
          <w:rFonts w:asciiTheme="minorHAnsi" w:hAnsiTheme="minorHAnsi" w:cstheme="minorHAnsi"/>
          <w:color w:val="auto"/>
          <w:sz w:val="20"/>
          <w:szCs w:val="20"/>
          <w:lang w:val="en-GB"/>
        </w:rPr>
      </w:pPr>
      <w:r>
        <w:fldChar w:fldCharType="begin"/>
      </w:r>
      <w:r w:rsidRPr="0015253B">
        <w:rPr>
          <w:lang w:val="en-GB"/>
          <w:rPrChange w:id="9" w:author="DANIELL Saskia" w:date="2025-01-31T13:04:00Z">
            <w:rPr/>
          </w:rPrChange>
        </w:rPr>
        <w:instrText>HYPERLINK "https://www.venice.coe.int/webforms/documents/default.aspx?pdffile=CDL-AD(2021)027-e"</w:instrText>
      </w:r>
      <w:r>
        <w:fldChar w:fldCharType="separate"/>
      </w:r>
      <w:r w:rsidRPr="001272FC">
        <w:rPr>
          <w:rStyle w:val="Hyperlink"/>
          <w:rFonts w:asciiTheme="minorHAnsi" w:hAnsiTheme="minorHAnsi" w:cstheme="minorHAnsi"/>
          <w:sz w:val="20"/>
          <w:szCs w:val="20"/>
          <w:lang w:val="en-GB"/>
        </w:rPr>
        <w:t>CDL-</w:t>
      </w:r>
      <w:proofErr w:type="gramStart"/>
      <w:r w:rsidRPr="001272FC">
        <w:rPr>
          <w:rStyle w:val="Hyperlink"/>
          <w:rFonts w:asciiTheme="minorHAnsi" w:hAnsiTheme="minorHAnsi" w:cstheme="minorHAnsi"/>
          <w:sz w:val="20"/>
          <w:szCs w:val="20"/>
          <w:lang w:val="en-GB"/>
        </w:rPr>
        <w:t>AD(</w:t>
      </w:r>
      <w:proofErr w:type="gramEnd"/>
      <w:r w:rsidRPr="001272FC">
        <w:rPr>
          <w:rStyle w:val="Hyperlink"/>
          <w:rFonts w:asciiTheme="minorHAnsi" w:hAnsiTheme="minorHAnsi" w:cstheme="minorHAnsi"/>
          <w:sz w:val="20"/>
          <w:szCs w:val="20"/>
          <w:lang w:val="en-GB"/>
        </w:rPr>
        <w:t>2021)027-e</w:t>
      </w:r>
      <w:r>
        <w:rPr>
          <w:rStyle w:val="Hyperlink"/>
          <w:rFonts w:asciiTheme="minorHAnsi" w:hAnsiTheme="minorHAnsi" w:cstheme="minorHAnsi"/>
          <w:sz w:val="20"/>
          <w:szCs w:val="20"/>
          <w:lang w:val="en-GB"/>
        </w:rPr>
        <w:fldChar w:fldCharType="end"/>
      </w:r>
      <w:r w:rsidRPr="001272FC">
        <w:rPr>
          <w:rFonts w:asciiTheme="minorHAnsi" w:hAnsiTheme="minorHAnsi" w:cstheme="minorHAnsi"/>
          <w:color w:val="auto"/>
          <w:sz w:val="20"/>
          <w:szCs w:val="20"/>
          <w:lang w:val="en-GB"/>
        </w:rPr>
        <w:br/>
        <w:t>Russian Federation - Opinion on the Compatibility with international human rights standards of a series of Bills introduced to the Russian State Duma between 10 and 23 November 2020, to amend laws affecting "foreign agents", adopted by the Venice Commission at its 127th Plenary session (Venice and online, 2-3 July 2021)</w:t>
      </w:r>
    </w:p>
    <w:p w14:paraId="20E4E097" w14:textId="77777777" w:rsidR="00A72C9D" w:rsidRDefault="00A72C9D" w:rsidP="00A72C9D">
      <w:pPr>
        <w:pStyle w:val="Default"/>
        <w:jc w:val="both"/>
        <w:rPr>
          <w:rFonts w:asciiTheme="minorHAnsi" w:hAnsiTheme="minorHAnsi" w:cstheme="minorHAnsi"/>
          <w:color w:val="auto"/>
          <w:sz w:val="20"/>
          <w:szCs w:val="20"/>
          <w:lang w:val="en-GB"/>
        </w:rPr>
      </w:pPr>
    </w:p>
    <w:p w14:paraId="0788BD7A" w14:textId="77777777" w:rsidR="00A72C9D" w:rsidRDefault="00A72C9D" w:rsidP="00A72C9D">
      <w:pPr>
        <w:pStyle w:val="Default"/>
        <w:jc w:val="both"/>
        <w:rPr>
          <w:rFonts w:asciiTheme="minorHAnsi" w:hAnsiTheme="minorHAnsi" w:cstheme="minorHAnsi"/>
          <w:color w:val="auto"/>
          <w:sz w:val="20"/>
          <w:szCs w:val="20"/>
          <w:lang w:val="en-GB"/>
        </w:rPr>
      </w:pPr>
      <w:r>
        <w:fldChar w:fldCharType="begin"/>
      </w:r>
      <w:r w:rsidRPr="00A0677D">
        <w:rPr>
          <w:lang w:val="en-GB"/>
          <w:rPrChange w:id="10" w:author="DANIELL Saskia" w:date="2025-01-30T19:03:00Z">
            <w:rPr/>
          </w:rPrChange>
        </w:rPr>
        <w:instrText>HYPERLINK "https://www.venice.coe.int/webforms/documents/default.aspx?pdffile=CDL-AD(2023)037-e"</w:instrText>
      </w:r>
      <w:r>
        <w:fldChar w:fldCharType="separate"/>
      </w:r>
      <w:r w:rsidRPr="001272FC">
        <w:rPr>
          <w:rStyle w:val="Hyperlink"/>
          <w:rFonts w:asciiTheme="minorHAnsi" w:hAnsiTheme="minorHAnsi" w:cstheme="minorHAnsi"/>
          <w:sz w:val="20"/>
          <w:szCs w:val="20"/>
          <w:lang w:val="en-GB"/>
        </w:rPr>
        <w:t>CDL-AD(2023)037-e</w:t>
      </w:r>
      <w:r>
        <w:rPr>
          <w:rStyle w:val="Hyperlink"/>
          <w:rFonts w:asciiTheme="minorHAnsi" w:hAnsiTheme="minorHAnsi" w:cstheme="minorHAnsi"/>
          <w:sz w:val="20"/>
          <w:szCs w:val="20"/>
          <w:lang w:val="en-GB"/>
        </w:rPr>
        <w:fldChar w:fldCharType="end"/>
      </w:r>
      <w:r w:rsidRPr="001272FC">
        <w:rPr>
          <w:rFonts w:asciiTheme="minorHAnsi" w:hAnsiTheme="minorHAnsi" w:cstheme="minorHAnsi"/>
          <w:color w:val="auto"/>
          <w:sz w:val="20"/>
          <w:szCs w:val="20"/>
          <w:lang w:val="en-GB"/>
        </w:rPr>
        <w:br/>
        <w:t>Poland - Urgent Opinion on the Law on the State Commission to Investigate Russian Influence on Internal Security in the Republic of Poland between 2007 and 2022 and on the draft law amending that Law, issued on 26 July 2023, pursuant to Article 14a of the Venice Commission's Rules of Procedure, endorsed by the Venice Commission at its 136th Plenary Session (Venice, 6-7 October 2023)</w:t>
      </w:r>
    </w:p>
    <w:p w14:paraId="23D9A2C6" w14:textId="77777777" w:rsidR="00A72C9D" w:rsidRDefault="00A72C9D" w:rsidP="00A72C9D">
      <w:pPr>
        <w:pStyle w:val="Default"/>
        <w:jc w:val="both"/>
        <w:rPr>
          <w:rFonts w:asciiTheme="minorHAnsi" w:hAnsiTheme="minorHAnsi" w:cstheme="minorHAnsi"/>
          <w:color w:val="auto"/>
          <w:sz w:val="20"/>
          <w:szCs w:val="20"/>
          <w:lang w:val="en-GB"/>
        </w:rPr>
      </w:pPr>
    </w:p>
    <w:p w14:paraId="6F465B45" w14:textId="77777777" w:rsidR="00A72C9D" w:rsidRPr="001272FC" w:rsidRDefault="00A72C9D" w:rsidP="00A72C9D">
      <w:pPr>
        <w:pStyle w:val="Default"/>
        <w:jc w:val="both"/>
        <w:rPr>
          <w:rFonts w:asciiTheme="minorHAnsi" w:hAnsiTheme="minorHAnsi" w:cstheme="minorHAnsi"/>
          <w:color w:val="auto"/>
          <w:sz w:val="20"/>
          <w:szCs w:val="20"/>
          <w:lang w:val="en-GB"/>
        </w:rPr>
      </w:pPr>
      <w:r>
        <w:fldChar w:fldCharType="begin"/>
      </w:r>
      <w:r w:rsidRPr="0015253B">
        <w:rPr>
          <w:lang w:val="en-GB"/>
          <w:rPrChange w:id="11" w:author="DANIELL Saskia" w:date="2025-01-31T13:04:00Z">
            <w:rPr/>
          </w:rPrChange>
        </w:rPr>
        <w:instrText>HYPERLINK "https://www.venice.coe.int/webforms/documents/default.aspx?pdffile=CDL-PI(2023)021-e"</w:instrText>
      </w:r>
      <w:r>
        <w:fldChar w:fldCharType="separate"/>
      </w:r>
      <w:r w:rsidRPr="001272FC">
        <w:rPr>
          <w:rStyle w:val="Hyperlink"/>
          <w:rFonts w:asciiTheme="minorHAnsi" w:hAnsiTheme="minorHAnsi" w:cstheme="minorHAnsi"/>
          <w:sz w:val="20"/>
          <w:szCs w:val="20"/>
          <w:lang w:val="en-GB"/>
        </w:rPr>
        <w:t>CDL-</w:t>
      </w:r>
      <w:proofErr w:type="gramStart"/>
      <w:r w:rsidRPr="001272FC">
        <w:rPr>
          <w:rStyle w:val="Hyperlink"/>
          <w:rFonts w:asciiTheme="minorHAnsi" w:hAnsiTheme="minorHAnsi" w:cstheme="minorHAnsi"/>
          <w:sz w:val="20"/>
          <w:szCs w:val="20"/>
          <w:lang w:val="en-GB"/>
        </w:rPr>
        <w:t>PI(</w:t>
      </w:r>
      <w:proofErr w:type="gramEnd"/>
      <w:r w:rsidRPr="001272FC">
        <w:rPr>
          <w:rStyle w:val="Hyperlink"/>
          <w:rFonts w:asciiTheme="minorHAnsi" w:hAnsiTheme="minorHAnsi" w:cstheme="minorHAnsi"/>
          <w:sz w:val="20"/>
          <w:szCs w:val="20"/>
          <w:lang w:val="en-GB"/>
        </w:rPr>
        <w:t>2023)021-e</w:t>
      </w:r>
      <w:r>
        <w:rPr>
          <w:rStyle w:val="Hyperlink"/>
          <w:rFonts w:asciiTheme="minorHAnsi" w:hAnsiTheme="minorHAnsi" w:cstheme="minorHAnsi"/>
          <w:sz w:val="20"/>
          <w:szCs w:val="20"/>
          <w:lang w:val="en-GB"/>
        </w:rPr>
        <w:fldChar w:fldCharType="end"/>
      </w:r>
      <w:r w:rsidRPr="001272FC">
        <w:rPr>
          <w:rFonts w:asciiTheme="minorHAnsi" w:hAnsiTheme="minorHAnsi" w:cstheme="minorHAnsi"/>
          <w:color w:val="auto"/>
          <w:sz w:val="20"/>
          <w:szCs w:val="20"/>
          <w:lang w:val="en-GB"/>
        </w:rPr>
        <w:br/>
        <w:t>Poland – Urgent Opinion on the Law on the State Commission to Investigate Russian Influence on Internal Security in the Republic of Poland between 2007 and 2022 and on the Draft Law amending that Law</w:t>
      </w:r>
    </w:p>
    <w:p w14:paraId="0958E55E" w14:textId="77777777" w:rsidR="00A72C9D" w:rsidRPr="00A72C9D" w:rsidRDefault="00A72C9D" w:rsidP="003B6499">
      <w:pPr>
        <w:rPr>
          <w:rFonts w:asciiTheme="majorHAnsi" w:eastAsiaTheme="majorEastAsia" w:hAnsiTheme="majorHAnsi" w:cstheme="majorBidi"/>
          <w:color w:val="2F5496" w:themeColor="accent1" w:themeShade="BF"/>
          <w:sz w:val="32"/>
          <w:szCs w:val="32"/>
          <w:lang w:val="en-GB"/>
        </w:rPr>
      </w:pPr>
    </w:p>
    <w:p w14:paraId="1E54D546" w14:textId="77777777" w:rsidR="003B6499" w:rsidRPr="003B6499" w:rsidRDefault="003B6499" w:rsidP="003B6499">
      <w:pPr>
        <w:rPr>
          <w:rFonts w:asciiTheme="majorHAnsi" w:eastAsiaTheme="majorEastAsia" w:hAnsiTheme="majorHAnsi" w:cstheme="majorBidi"/>
          <w:color w:val="2F5496" w:themeColor="accent1" w:themeShade="BF"/>
          <w:sz w:val="32"/>
          <w:szCs w:val="32"/>
          <w:lang w:val="en-US"/>
        </w:rPr>
      </w:pPr>
    </w:p>
    <w:p w14:paraId="3786B100" w14:textId="77777777" w:rsidR="003B6499" w:rsidRPr="003B6499" w:rsidRDefault="003B6499" w:rsidP="003B6499">
      <w:pPr>
        <w:rPr>
          <w:rFonts w:asciiTheme="majorHAnsi" w:eastAsiaTheme="majorEastAsia" w:hAnsiTheme="majorHAnsi" w:cstheme="majorBidi"/>
          <w:color w:val="2F5496" w:themeColor="accent1" w:themeShade="BF"/>
          <w:sz w:val="32"/>
          <w:szCs w:val="32"/>
          <w:lang w:val="en-US"/>
        </w:rPr>
      </w:pPr>
    </w:p>
    <w:p w14:paraId="45412D48" w14:textId="77777777" w:rsidR="003B6499" w:rsidRPr="003B6499" w:rsidRDefault="003B6499" w:rsidP="003B6499">
      <w:pPr>
        <w:rPr>
          <w:rFonts w:asciiTheme="majorHAnsi" w:eastAsiaTheme="majorEastAsia" w:hAnsiTheme="majorHAnsi" w:cstheme="majorBidi"/>
          <w:color w:val="2F5496" w:themeColor="accent1" w:themeShade="BF"/>
          <w:sz w:val="32"/>
          <w:szCs w:val="32"/>
          <w:lang w:val="en-US"/>
        </w:rPr>
      </w:pPr>
      <w:bookmarkStart w:id="12" w:name="_Toc36635845"/>
      <w:r w:rsidRPr="003B6499">
        <w:rPr>
          <w:rFonts w:asciiTheme="majorHAnsi" w:eastAsiaTheme="majorEastAsia" w:hAnsiTheme="majorHAnsi" w:cstheme="majorBidi"/>
          <w:color w:val="2F5496" w:themeColor="accent1" w:themeShade="BF"/>
          <w:sz w:val="32"/>
          <w:szCs w:val="32"/>
          <w:lang w:val="en-US"/>
        </w:rPr>
        <w:t>III Media pluralism</w:t>
      </w:r>
      <w:bookmarkEnd w:id="12"/>
      <w:r w:rsidRPr="003B6499">
        <w:rPr>
          <w:rFonts w:asciiTheme="majorHAnsi" w:eastAsiaTheme="majorEastAsia" w:hAnsiTheme="majorHAnsi" w:cstheme="majorBidi"/>
          <w:color w:val="2F5496" w:themeColor="accent1" w:themeShade="BF"/>
          <w:sz w:val="32"/>
          <w:szCs w:val="32"/>
          <w:lang w:val="en-US"/>
        </w:rPr>
        <w:t xml:space="preserve"> </w:t>
      </w:r>
    </w:p>
    <w:p w14:paraId="70730CA7" w14:textId="77777777" w:rsidR="003B6499" w:rsidRDefault="003B6499" w:rsidP="00B56B38">
      <w:pPr>
        <w:pStyle w:val="COEHI"/>
        <w:numPr>
          <w:ilvl w:val="0"/>
          <w:numId w:val="0"/>
        </w:numPr>
        <w:rPr>
          <w:rFonts w:asciiTheme="majorHAnsi" w:eastAsiaTheme="majorEastAsia" w:hAnsiTheme="majorHAnsi" w:cstheme="majorBidi"/>
          <w:color w:val="2F5496" w:themeColor="accent1" w:themeShade="BF"/>
          <w:sz w:val="32"/>
          <w:szCs w:val="32"/>
          <w:lang w:val="en-US"/>
        </w:rPr>
      </w:pPr>
    </w:p>
    <w:p w14:paraId="068008A5" w14:textId="77777777" w:rsidR="00B56B38" w:rsidRDefault="00B56B38" w:rsidP="00B56B38">
      <w:pPr>
        <w:pStyle w:val="COEHI"/>
        <w:numPr>
          <w:ilvl w:val="0"/>
          <w:numId w:val="0"/>
        </w:numPr>
        <w:rPr>
          <w:rFonts w:asciiTheme="majorHAnsi" w:eastAsiaTheme="majorEastAsia" w:hAnsiTheme="majorHAnsi" w:cstheme="majorBidi"/>
          <w:color w:val="2F5496" w:themeColor="accent1" w:themeShade="BF"/>
          <w:sz w:val="32"/>
          <w:szCs w:val="32"/>
          <w:lang w:val="en-US"/>
        </w:rPr>
      </w:pPr>
    </w:p>
    <w:p w14:paraId="59A83808" w14:textId="77777777" w:rsidR="00B56B38" w:rsidRPr="00B56B38" w:rsidRDefault="00B56B38" w:rsidP="00B56B38">
      <w:pPr>
        <w:pStyle w:val="COEHI"/>
        <w:numPr>
          <w:ilvl w:val="0"/>
          <w:numId w:val="0"/>
        </w:numPr>
        <w:rPr>
          <w:rFonts w:asciiTheme="minorHAnsi" w:eastAsiaTheme="minorEastAsia" w:hAnsiTheme="minorHAnsi" w:cstheme="minorBidi"/>
          <w:color w:val="auto"/>
          <w:kern w:val="0"/>
          <w:sz w:val="20"/>
          <w:szCs w:val="20"/>
          <w:lang w:val="en-GB" w:eastAsia="en-US"/>
        </w:rPr>
      </w:pPr>
      <w:r w:rsidRPr="00B56B38">
        <w:rPr>
          <w:rFonts w:asciiTheme="minorHAnsi" w:eastAsiaTheme="minorEastAsia" w:hAnsiTheme="minorHAnsi" w:cstheme="minorBidi"/>
          <w:color w:val="auto"/>
          <w:kern w:val="0"/>
          <w:sz w:val="20"/>
          <w:szCs w:val="20"/>
          <w:lang w:val="en-GB" w:eastAsia="en-US"/>
        </w:rPr>
        <w:t>Implementation of Human Rights, Justice and Legal Co-operation Standards</w:t>
      </w:r>
    </w:p>
    <w:p w14:paraId="208AE1F0" w14:textId="77777777" w:rsidR="00B56B38" w:rsidRPr="00B56B38" w:rsidRDefault="00B56B38" w:rsidP="00B56B38">
      <w:pPr>
        <w:pStyle w:val="COEHI"/>
        <w:numPr>
          <w:ilvl w:val="0"/>
          <w:numId w:val="0"/>
        </w:numPr>
        <w:rPr>
          <w:rFonts w:asciiTheme="majorHAnsi" w:eastAsiaTheme="majorEastAsia" w:hAnsiTheme="majorHAnsi" w:cstheme="majorBidi"/>
          <w:color w:val="2F5496" w:themeColor="accent1" w:themeShade="BF"/>
          <w:sz w:val="32"/>
          <w:szCs w:val="32"/>
          <w:lang w:val="en-GB"/>
        </w:rPr>
      </w:pPr>
    </w:p>
    <w:p w14:paraId="6035DFEF" w14:textId="77777777" w:rsidR="00B56B38" w:rsidRPr="00017D40" w:rsidRDefault="00B56B38" w:rsidP="00B56B38">
      <w:pPr>
        <w:jc w:val="both"/>
        <w:rPr>
          <w:lang w:val="en-GB"/>
        </w:rPr>
      </w:pPr>
      <w:r w:rsidRPr="00017D40">
        <w:rPr>
          <w:b/>
          <w:bCs/>
          <w:lang w:val="en-GB"/>
        </w:rPr>
        <w:t>Open data</w:t>
      </w:r>
      <w:r w:rsidRPr="00017D40">
        <w:rPr>
          <w:lang w:val="en-GB"/>
        </w:rPr>
        <w:t xml:space="preserve"> policies that ensure broad access to public sector information with minimal restrictions support both commercial use and public benefit. In particular, open access to judicial data, supported by innovative legal technologies, enhances transparency and strengthens overall trust in judicial systems. However, the online availability of judicial data also presents risks, particularly concerning privacy, as personal and depersonalised data become more accessible and potentially subject to misuse by third parties. Therefore, governments must carefully balance the benefits of transparency with measures to regulate data reuse, ensuring privacy protection and maintaining the integrity of the justice system.  </w:t>
      </w:r>
    </w:p>
    <w:p w14:paraId="0DDCC3FF" w14:textId="77777777" w:rsidR="00B56B38" w:rsidRPr="00017D40" w:rsidRDefault="00B56B38" w:rsidP="00B56B38">
      <w:pPr>
        <w:jc w:val="both"/>
        <w:rPr>
          <w:lang w:val="en-GB"/>
        </w:rPr>
      </w:pPr>
      <w:r w:rsidRPr="00017D40">
        <w:rPr>
          <w:lang w:val="en-GB"/>
        </w:rPr>
        <w:t xml:space="preserve">To fulfil their responsibility in regulating the reuse of public data by the private sector, states can implement licensing agreements that define the conditions of data reuse. These agreements can also impose specific obligations on private entities, particularly in areas related to privacy and personal data protection.  </w:t>
      </w:r>
    </w:p>
    <w:p w14:paraId="6957BDE3" w14:textId="77777777" w:rsidR="00B56B38" w:rsidRDefault="00B56B38" w:rsidP="00B56B38">
      <w:pPr>
        <w:jc w:val="both"/>
        <w:rPr>
          <w:lang w:val="en-GB"/>
        </w:rPr>
      </w:pPr>
      <w:r w:rsidRPr="00017D40">
        <w:rPr>
          <w:lang w:val="en-GB"/>
        </w:rPr>
        <w:t xml:space="preserve">However, in </w:t>
      </w:r>
      <w:r>
        <w:rPr>
          <w:lang w:val="en-GB"/>
        </w:rPr>
        <w:t>many</w:t>
      </w:r>
      <w:r w:rsidRPr="00017D40">
        <w:rPr>
          <w:lang w:val="en-GB"/>
        </w:rPr>
        <w:t xml:space="preserve"> European jurisdictions, licensing mechanisms for the reuse of judicial data are either underutilized or lack a consistent and balanced approach. This has led to fragmented and unstructured practices, increasing the risks associated with data reuse. There is a clear need for dialogue, coordination, and standardised licensing models across Europe to ensure a more coherent and secure approach to judicial data reuse.</w:t>
      </w:r>
    </w:p>
    <w:p w14:paraId="3BC7B5F9" w14:textId="77777777" w:rsidR="00B56B38" w:rsidRPr="00017D40" w:rsidRDefault="00B56B38" w:rsidP="00B56B38">
      <w:pPr>
        <w:jc w:val="both"/>
        <w:rPr>
          <w:lang w:val="en-GB"/>
        </w:rPr>
      </w:pPr>
    </w:p>
    <w:p w14:paraId="661CACC4" w14:textId="77777777" w:rsidR="00B56B38" w:rsidRPr="00017D40" w:rsidRDefault="00B56B38" w:rsidP="00B56B38">
      <w:pPr>
        <w:jc w:val="both"/>
        <w:rPr>
          <w:lang w:val="en-GB"/>
        </w:rPr>
      </w:pPr>
      <w:r w:rsidRPr="00017D40">
        <w:rPr>
          <w:b/>
          <w:bCs/>
          <w:lang w:val="en-GB"/>
        </w:rPr>
        <w:t>Change management</w:t>
      </w:r>
      <w:r w:rsidRPr="00017D40">
        <w:rPr>
          <w:lang w:val="en-GB"/>
        </w:rPr>
        <w:t xml:space="preserve"> plays a critical role in driving and sustaining reforms by providing the necessary guidance and support to navigate complex transformation processes. By prioritizing change management, smooth transitions are ensured, resistance is </w:t>
      </w:r>
      <w:proofErr w:type="gramStart"/>
      <w:r w:rsidRPr="00017D40">
        <w:rPr>
          <w:lang w:val="en-GB"/>
        </w:rPr>
        <w:t>addressed</w:t>
      </w:r>
      <w:proofErr w:type="gramEnd"/>
      <w:r w:rsidRPr="00017D40">
        <w:rPr>
          <w:lang w:val="en-GB"/>
        </w:rPr>
        <w:t xml:space="preserve"> and culture of continuous improvement is present. This strategic approach not only enables the successful implementation of reforms but also embeds them within institutions, enhancing their resilience and adaptability to future challenges.</w:t>
      </w:r>
    </w:p>
    <w:p w14:paraId="08B95948" w14:textId="77777777" w:rsidR="003B6499" w:rsidRDefault="003B6499" w:rsidP="003B6499">
      <w:pPr>
        <w:rPr>
          <w:rFonts w:asciiTheme="majorHAnsi" w:eastAsiaTheme="majorEastAsia" w:hAnsiTheme="majorHAnsi" w:cstheme="majorBidi"/>
          <w:color w:val="2F5496" w:themeColor="accent1" w:themeShade="BF"/>
          <w:sz w:val="32"/>
          <w:szCs w:val="32"/>
          <w:lang w:val="en-GB"/>
        </w:rPr>
      </w:pPr>
    </w:p>
    <w:p w14:paraId="44A4DF84" w14:textId="77777777" w:rsidR="00561723" w:rsidRPr="00B56B38" w:rsidRDefault="00561723" w:rsidP="003B6499">
      <w:pPr>
        <w:rPr>
          <w:rFonts w:asciiTheme="majorHAnsi" w:eastAsiaTheme="majorEastAsia" w:hAnsiTheme="majorHAnsi" w:cstheme="majorBidi"/>
          <w:color w:val="2F5496" w:themeColor="accent1" w:themeShade="BF"/>
          <w:sz w:val="32"/>
          <w:szCs w:val="32"/>
          <w:lang w:val="en-GB"/>
        </w:rPr>
      </w:pPr>
    </w:p>
    <w:p w14:paraId="5A13368B" w14:textId="24FAC55C" w:rsidR="007101A9" w:rsidRDefault="003D1303" w:rsidP="003B6499">
      <w:pPr>
        <w:rPr>
          <w:lang w:val="en-GB"/>
        </w:rPr>
      </w:pPr>
      <w:r w:rsidRPr="003D1303">
        <w:rPr>
          <w:lang w:val="en-GB"/>
        </w:rPr>
        <w:lastRenderedPageBreak/>
        <w:t>Council of Europe Commissioner for Human Rights</w:t>
      </w:r>
    </w:p>
    <w:p w14:paraId="22CC1A44" w14:textId="77777777" w:rsidR="003D1303" w:rsidRDefault="003D1303" w:rsidP="003B6499">
      <w:pPr>
        <w:rPr>
          <w:lang w:val="en-GB"/>
        </w:rPr>
      </w:pPr>
    </w:p>
    <w:p w14:paraId="47F52BA4" w14:textId="77777777" w:rsidR="003D1303" w:rsidRPr="001E5BF1" w:rsidRDefault="003D1303" w:rsidP="003D1303">
      <w:pPr>
        <w:jc w:val="both"/>
        <w:rPr>
          <w:rStyle w:val="Hyperlink"/>
          <w:rFonts w:cs="Calibri"/>
          <w:lang w:val="en-GB"/>
        </w:rPr>
      </w:pPr>
      <w:r>
        <w:rPr>
          <w:lang w:val="en-GB"/>
        </w:rPr>
        <w:fldChar w:fldCharType="begin"/>
      </w:r>
      <w:r>
        <w:rPr>
          <w:lang w:val="en-GB"/>
        </w:rPr>
        <w:instrText>HYPERLINK "https://www.coe.int/en/web/commissioner/-/member-states-must-act-to-end-impunity-for-crimes-against-journalists"</w:instrText>
      </w:r>
      <w:r>
        <w:rPr>
          <w:lang w:val="en-GB"/>
        </w:rPr>
      </w:r>
      <w:r>
        <w:rPr>
          <w:lang w:val="en-GB"/>
        </w:rPr>
        <w:fldChar w:fldCharType="separate"/>
      </w:r>
    </w:p>
    <w:p w14:paraId="23980FF1" w14:textId="77777777" w:rsidR="003D1303" w:rsidRPr="001E5BF1" w:rsidRDefault="003D1303" w:rsidP="003D1303">
      <w:pPr>
        <w:jc w:val="both"/>
        <w:rPr>
          <w:lang w:val="en-GB"/>
        </w:rPr>
      </w:pPr>
      <w:r w:rsidRPr="001E5BF1">
        <w:rPr>
          <w:rStyle w:val="Hyperlink"/>
          <w:rFonts w:cs="Calibri"/>
          <w:lang w:val="en-GB"/>
        </w:rPr>
        <w:t>Statement</w:t>
      </w:r>
      <w:r>
        <w:rPr>
          <w:lang w:val="en-GB"/>
        </w:rPr>
        <w:fldChar w:fldCharType="end"/>
      </w:r>
      <w:r w:rsidRPr="001E5BF1">
        <w:rPr>
          <w:lang w:val="en-GB"/>
        </w:rPr>
        <w:t xml:space="preserve"> from the Council of Europe Commissioner for Human Rights </w:t>
      </w:r>
      <w:r>
        <w:rPr>
          <w:lang w:val="en-GB"/>
        </w:rPr>
        <w:t xml:space="preserve">Michael O’Flaherty </w:t>
      </w:r>
      <w:r w:rsidRPr="001E5BF1">
        <w:rPr>
          <w:lang w:val="en-GB"/>
        </w:rPr>
        <w:t>calling on all member states to act to end impunity for crimes against journalists</w:t>
      </w:r>
      <w:r>
        <w:rPr>
          <w:lang w:val="en-GB"/>
        </w:rPr>
        <w:t>, published on 1 November 2024.</w:t>
      </w:r>
      <w:r w:rsidRPr="001E5BF1">
        <w:rPr>
          <w:lang w:val="en-GB"/>
        </w:rPr>
        <w:t xml:space="preserve"> </w:t>
      </w:r>
    </w:p>
    <w:p w14:paraId="3FC3137A" w14:textId="77777777" w:rsidR="003D1303" w:rsidRPr="003D1303" w:rsidRDefault="003D1303" w:rsidP="003B6499">
      <w:pPr>
        <w:rPr>
          <w:rFonts w:asciiTheme="majorHAnsi" w:eastAsiaTheme="majorEastAsia" w:hAnsiTheme="majorHAnsi" w:cstheme="majorBidi"/>
          <w:color w:val="2F5496" w:themeColor="accent1" w:themeShade="BF"/>
          <w:sz w:val="32"/>
          <w:szCs w:val="32"/>
          <w:lang w:val="en-GB"/>
        </w:rPr>
      </w:pPr>
    </w:p>
    <w:p w14:paraId="29B57E8D" w14:textId="77777777" w:rsidR="007101A9" w:rsidRDefault="007101A9" w:rsidP="003B6499">
      <w:pPr>
        <w:rPr>
          <w:rFonts w:asciiTheme="majorHAnsi" w:eastAsiaTheme="majorEastAsia" w:hAnsiTheme="majorHAnsi" w:cstheme="majorBidi"/>
          <w:color w:val="2F5496" w:themeColor="accent1" w:themeShade="BF"/>
          <w:sz w:val="32"/>
          <w:szCs w:val="32"/>
          <w:lang w:val="en-US"/>
        </w:rPr>
      </w:pPr>
    </w:p>
    <w:p w14:paraId="6130F293" w14:textId="77777777" w:rsidR="007101A9" w:rsidRPr="003B6499" w:rsidRDefault="007101A9" w:rsidP="003B6499">
      <w:pPr>
        <w:rPr>
          <w:rFonts w:asciiTheme="majorHAnsi" w:eastAsiaTheme="majorEastAsia" w:hAnsiTheme="majorHAnsi" w:cstheme="majorBidi"/>
          <w:color w:val="2F5496" w:themeColor="accent1" w:themeShade="BF"/>
          <w:sz w:val="32"/>
          <w:szCs w:val="32"/>
          <w:lang w:val="en-US"/>
        </w:rPr>
      </w:pPr>
    </w:p>
    <w:p w14:paraId="49A2E750" w14:textId="77777777" w:rsidR="003B6499" w:rsidRPr="003B6499" w:rsidRDefault="003B6499" w:rsidP="003B6499">
      <w:pPr>
        <w:rPr>
          <w:rFonts w:asciiTheme="majorHAnsi" w:eastAsiaTheme="majorEastAsia" w:hAnsiTheme="majorHAnsi" w:cstheme="majorBidi"/>
          <w:color w:val="2F5496" w:themeColor="accent1" w:themeShade="BF"/>
          <w:sz w:val="32"/>
          <w:szCs w:val="32"/>
          <w:lang w:val="en-US"/>
        </w:rPr>
      </w:pPr>
      <w:bookmarkStart w:id="13" w:name="_Toc36635858"/>
      <w:r w:rsidRPr="003B6499">
        <w:rPr>
          <w:rFonts w:asciiTheme="majorHAnsi" w:eastAsiaTheme="majorEastAsia" w:hAnsiTheme="majorHAnsi" w:cstheme="majorBidi"/>
          <w:color w:val="2F5496" w:themeColor="accent1" w:themeShade="BF"/>
          <w:sz w:val="32"/>
          <w:szCs w:val="32"/>
          <w:lang w:val="en-US"/>
        </w:rPr>
        <w:t>IV Other institutional issues related to checks and balances</w:t>
      </w:r>
      <w:bookmarkEnd w:id="13"/>
      <w:r w:rsidRPr="003B6499">
        <w:rPr>
          <w:rFonts w:asciiTheme="majorHAnsi" w:eastAsiaTheme="majorEastAsia" w:hAnsiTheme="majorHAnsi" w:cstheme="majorBidi"/>
          <w:color w:val="2F5496" w:themeColor="accent1" w:themeShade="BF"/>
          <w:sz w:val="32"/>
          <w:szCs w:val="32"/>
          <w:lang w:val="en-US"/>
        </w:rPr>
        <w:t xml:space="preserve"> </w:t>
      </w:r>
    </w:p>
    <w:p w14:paraId="3F2E113E" w14:textId="77777777" w:rsidR="003B6499" w:rsidRDefault="003B6499" w:rsidP="00105C7C">
      <w:pPr>
        <w:pStyle w:val="NoSpacing"/>
        <w:jc w:val="both"/>
        <w:rPr>
          <w:rStyle w:val="Hyperlink"/>
          <w:rFonts w:ascii="Calibri" w:hAnsi="Calibri" w:cs="Calibri"/>
          <w:lang w:val="en-US"/>
        </w:rPr>
      </w:pPr>
    </w:p>
    <w:p w14:paraId="7A4540FF" w14:textId="77777777" w:rsidR="007101A9" w:rsidRPr="00F2307E" w:rsidRDefault="007101A9" w:rsidP="007101A9">
      <w:pPr>
        <w:pStyle w:val="NoSpacing"/>
        <w:jc w:val="both"/>
        <w:rPr>
          <w:rFonts w:eastAsiaTheme="minorHAnsi"/>
          <w:lang w:val="en-US"/>
        </w:rPr>
      </w:pPr>
      <w:r w:rsidRPr="00F2307E">
        <w:rPr>
          <w:rFonts w:eastAsiaTheme="minorHAnsi"/>
          <w:lang w:val="en-US"/>
        </w:rPr>
        <w:t>Venice Commission</w:t>
      </w:r>
    </w:p>
    <w:p w14:paraId="21E4A0A6" w14:textId="77777777" w:rsidR="007101A9" w:rsidRPr="00F2307E" w:rsidRDefault="007101A9" w:rsidP="007101A9">
      <w:pPr>
        <w:pStyle w:val="NoSpacing"/>
        <w:jc w:val="both"/>
        <w:rPr>
          <w:rFonts w:eastAsiaTheme="minorHAnsi"/>
          <w:lang w:val="en-US"/>
        </w:rPr>
      </w:pPr>
    </w:p>
    <w:p w14:paraId="7BE39AFB" w14:textId="77777777" w:rsidR="007101A9" w:rsidRPr="00EA1B1F" w:rsidRDefault="00000000" w:rsidP="007101A9">
      <w:pPr>
        <w:pStyle w:val="Default"/>
        <w:jc w:val="both"/>
        <w:rPr>
          <w:rFonts w:asciiTheme="minorHAnsi" w:hAnsiTheme="minorHAnsi" w:cstheme="minorHAnsi"/>
          <w:color w:val="auto"/>
          <w:sz w:val="20"/>
          <w:szCs w:val="20"/>
          <w:lang w:val="en-US"/>
        </w:rPr>
      </w:pPr>
      <w:hyperlink r:id="rId12" w:history="1">
        <w:r w:rsidR="007101A9" w:rsidRPr="00EA1B1F">
          <w:rPr>
            <w:rStyle w:val="Hyperlink"/>
            <w:rFonts w:asciiTheme="minorHAnsi" w:hAnsiTheme="minorHAnsi" w:cstheme="minorHAnsi"/>
            <w:sz w:val="20"/>
            <w:szCs w:val="20"/>
            <w:lang w:val="en-US"/>
          </w:rPr>
          <w:t>CDL-</w:t>
        </w:r>
        <w:proofErr w:type="gramStart"/>
        <w:r w:rsidR="007101A9" w:rsidRPr="00EA1B1F">
          <w:rPr>
            <w:rStyle w:val="Hyperlink"/>
            <w:rFonts w:asciiTheme="minorHAnsi" w:hAnsiTheme="minorHAnsi" w:cstheme="minorHAnsi"/>
            <w:sz w:val="20"/>
            <w:szCs w:val="20"/>
            <w:lang w:val="en-US"/>
          </w:rPr>
          <w:t>AD(</w:t>
        </w:r>
        <w:proofErr w:type="gramEnd"/>
        <w:r w:rsidR="007101A9" w:rsidRPr="00EA1B1F">
          <w:rPr>
            <w:rStyle w:val="Hyperlink"/>
            <w:rFonts w:asciiTheme="minorHAnsi" w:hAnsiTheme="minorHAnsi" w:cstheme="minorHAnsi"/>
            <w:sz w:val="20"/>
            <w:szCs w:val="20"/>
            <w:lang w:val="en-US"/>
          </w:rPr>
          <w:t>2024)039-e</w:t>
        </w:r>
      </w:hyperlink>
      <w:bookmarkStart w:id="14" w:name="_Toc187764581"/>
    </w:p>
    <w:p w14:paraId="65BD78E8" w14:textId="77777777" w:rsidR="007101A9" w:rsidRPr="00EA1B1F" w:rsidRDefault="007101A9" w:rsidP="007101A9">
      <w:pPr>
        <w:pStyle w:val="Default"/>
        <w:jc w:val="both"/>
        <w:rPr>
          <w:rFonts w:asciiTheme="minorHAnsi" w:hAnsiTheme="minorHAnsi" w:cstheme="minorHAnsi"/>
          <w:color w:val="auto"/>
          <w:sz w:val="20"/>
          <w:szCs w:val="20"/>
          <w:lang w:val="en-US"/>
        </w:rPr>
      </w:pPr>
      <w:r w:rsidRPr="00EA1B1F">
        <w:rPr>
          <w:color w:val="auto"/>
          <w:sz w:val="20"/>
          <w:szCs w:val="20"/>
          <w:lang w:val="en-US"/>
        </w:rPr>
        <w:t>Report on election observers as human rights defenders</w:t>
      </w:r>
      <w:bookmarkEnd w:id="14"/>
      <w:r w:rsidRPr="00EA1B1F">
        <w:rPr>
          <w:rFonts w:asciiTheme="minorHAnsi" w:hAnsiTheme="minorHAnsi" w:cstheme="minorHAnsi"/>
          <w:color w:val="auto"/>
          <w:sz w:val="20"/>
          <w:szCs w:val="20"/>
          <w:lang w:val="en-US"/>
        </w:rPr>
        <w:t>, approved by the Council for Democratic Elections at its 81st meeting (Venice, 5 December 2024) and adopted by the Venice Commission at its 141st Plenary Session (Venice, 6-7 December 2024)</w:t>
      </w:r>
    </w:p>
    <w:p w14:paraId="30D44183" w14:textId="77777777" w:rsidR="007101A9" w:rsidRPr="00EA1B1F" w:rsidRDefault="007101A9" w:rsidP="007101A9">
      <w:pPr>
        <w:pStyle w:val="Default"/>
        <w:jc w:val="both"/>
        <w:rPr>
          <w:rFonts w:asciiTheme="minorHAnsi" w:hAnsiTheme="minorHAnsi" w:cstheme="minorHAnsi"/>
          <w:color w:val="auto"/>
          <w:sz w:val="20"/>
          <w:szCs w:val="20"/>
          <w:lang w:val="en-US"/>
        </w:rPr>
      </w:pPr>
    </w:p>
    <w:p w14:paraId="59E20146" w14:textId="77777777" w:rsidR="007101A9" w:rsidRPr="00EA1B1F" w:rsidRDefault="00000000" w:rsidP="007101A9">
      <w:pPr>
        <w:pStyle w:val="Default"/>
        <w:keepNext/>
        <w:keepLines/>
        <w:jc w:val="both"/>
        <w:rPr>
          <w:rFonts w:asciiTheme="minorHAnsi" w:hAnsiTheme="minorHAnsi" w:cstheme="minorHAnsi"/>
          <w:color w:val="auto"/>
          <w:sz w:val="20"/>
          <w:szCs w:val="20"/>
          <w:lang w:val="en-GB"/>
        </w:rPr>
      </w:pPr>
      <w:hyperlink r:id="rId13" w:history="1">
        <w:r w:rsidR="007101A9" w:rsidRPr="00EA1B1F">
          <w:rPr>
            <w:rStyle w:val="Hyperlink"/>
            <w:rFonts w:asciiTheme="minorHAnsi" w:hAnsiTheme="minorHAnsi" w:cstheme="minorHAnsi"/>
            <w:sz w:val="20"/>
            <w:szCs w:val="20"/>
            <w:lang w:val="en-GB"/>
          </w:rPr>
          <w:t>CDL-</w:t>
        </w:r>
        <w:proofErr w:type="gramStart"/>
        <w:r w:rsidR="007101A9" w:rsidRPr="00EA1B1F">
          <w:rPr>
            <w:rStyle w:val="Hyperlink"/>
            <w:rFonts w:asciiTheme="minorHAnsi" w:hAnsiTheme="minorHAnsi" w:cstheme="minorHAnsi"/>
            <w:sz w:val="20"/>
            <w:szCs w:val="20"/>
            <w:lang w:val="en-GB"/>
          </w:rPr>
          <w:t>AD(</w:t>
        </w:r>
        <w:proofErr w:type="gramEnd"/>
        <w:r w:rsidR="007101A9" w:rsidRPr="00EA1B1F">
          <w:rPr>
            <w:rStyle w:val="Hyperlink"/>
            <w:rFonts w:asciiTheme="minorHAnsi" w:hAnsiTheme="minorHAnsi" w:cstheme="minorHAnsi"/>
            <w:sz w:val="20"/>
            <w:szCs w:val="20"/>
            <w:lang w:val="en-GB"/>
          </w:rPr>
          <w:t>2024)044-e</w:t>
        </w:r>
      </w:hyperlink>
    </w:p>
    <w:p w14:paraId="4E57CD98" w14:textId="77777777" w:rsidR="007101A9" w:rsidRDefault="007101A9" w:rsidP="007101A9">
      <w:pPr>
        <w:pStyle w:val="Default"/>
        <w:jc w:val="both"/>
        <w:rPr>
          <w:rFonts w:asciiTheme="minorHAnsi" w:hAnsiTheme="minorHAnsi" w:cstheme="minorHAnsi"/>
          <w:color w:val="auto"/>
          <w:sz w:val="20"/>
          <w:szCs w:val="20"/>
          <w:lang w:val="en-GB"/>
        </w:rPr>
      </w:pPr>
      <w:bookmarkStart w:id="15" w:name="_Toc187764582"/>
      <w:r w:rsidRPr="00474174">
        <w:rPr>
          <w:color w:val="auto"/>
          <w:sz w:val="20"/>
          <w:szCs w:val="20"/>
          <w:lang w:val="en-GB"/>
        </w:rPr>
        <w:t>Interpretative declaration of the Code of good practice in electoral matters as concerns digital technologies and artificial intelligence</w:t>
      </w:r>
      <w:bookmarkEnd w:id="15"/>
      <w:r w:rsidRPr="00EA1B1F">
        <w:rPr>
          <w:rFonts w:asciiTheme="minorHAnsi" w:hAnsiTheme="minorHAnsi" w:cstheme="minorHAnsi"/>
          <w:color w:val="auto"/>
          <w:sz w:val="20"/>
          <w:szCs w:val="20"/>
          <w:lang w:val="en-GB"/>
        </w:rPr>
        <w:t>, approved by the Council for Democratic Elections at its 81st meeting (Venice, 5 December 2024) and adopted by the Venice Commission at its 141st Plenary Session (Venice, 6-7 December 2024)</w:t>
      </w:r>
    </w:p>
    <w:p w14:paraId="19772107" w14:textId="77777777" w:rsidR="007101A9" w:rsidRDefault="007101A9" w:rsidP="007101A9">
      <w:pPr>
        <w:pStyle w:val="Default"/>
        <w:jc w:val="both"/>
        <w:rPr>
          <w:rFonts w:asciiTheme="minorHAnsi" w:hAnsiTheme="minorHAnsi" w:cstheme="minorHAnsi"/>
          <w:color w:val="auto"/>
          <w:sz w:val="20"/>
          <w:szCs w:val="20"/>
          <w:lang w:val="en-GB"/>
        </w:rPr>
      </w:pPr>
    </w:p>
    <w:p w14:paraId="0A3AD719" w14:textId="77777777" w:rsidR="007101A9" w:rsidRDefault="007101A9" w:rsidP="007101A9">
      <w:pPr>
        <w:pStyle w:val="Default"/>
        <w:jc w:val="both"/>
        <w:rPr>
          <w:rFonts w:asciiTheme="minorHAnsi" w:hAnsiTheme="minorHAnsi" w:cstheme="minorHAnsi"/>
          <w:color w:val="auto"/>
          <w:sz w:val="20"/>
          <w:szCs w:val="20"/>
          <w:lang w:val="en-GB"/>
        </w:rPr>
      </w:pPr>
      <w:r>
        <w:fldChar w:fldCharType="begin"/>
      </w:r>
      <w:r w:rsidRPr="0015253B">
        <w:rPr>
          <w:lang w:val="en-GB"/>
          <w:rPrChange w:id="16" w:author="DANIELL Saskia" w:date="2025-01-31T13:04:00Z">
            <w:rPr/>
          </w:rPrChange>
        </w:rPr>
        <w:instrText>HYPERLINK "https://www.venice.coe.int/webforms/documents/default.aspx?pdffile=CDL-AD(2024)027-e"</w:instrText>
      </w:r>
      <w:r>
        <w:fldChar w:fldCharType="separate"/>
      </w:r>
      <w:r w:rsidRPr="005772E4">
        <w:rPr>
          <w:rStyle w:val="Hyperlink"/>
          <w:rFonts w:asciiTheme="minorHAnsi" w:hAnsiTheme="minorHAnsi" w:cstheme="minorHAnsi"/>
          <w:sz w:val="20"/>
          <w:szCs w:val="20"/>
          <w:lang w:val="en-GB"/>
        </w:rPr>
        <w:t>CDL-</w:t>
      </w:r>
      <w:proofErr w:type="gramStart"/>
      <w:r w:rsidRPr="005772E4">
        <w:rPr>
          <w:rStyle w:val="Hyperlink"/>
          <w:rFonts w:asciiTheme="minorHAnsi" w:hAnsiTheme="minorHAnsi" w:cstheme="minorHAnsi"/>
          <w:sz w:val="20"/>
          <w:szCs w:val="20"/>
          <w:lang w:val="en-GB"/>
        </w:rPr>
        <w:t>AD(</w:t>
      </w:r>
      <w:proofErr w:type="gramEnd"/>
      <w:r w:rsidRPr="005772E4">
        <w:rPr>
          <w:rStyle w:val="Hyperlink"/>
          <w:rFonts w:asciiTheme="minorHAnsi" w:hAnsiTheme="minorHAnsi" w:cstheme="minorHAnsi"/>
          <w:sz w:val="20"/>
          <w:szCs w:val="20"/>
          <w:lang w:val="en-GB"/>
        </w:rPr>
        <w:t>2024)027-e</w:t>
      </w:r>
      <w:r>
        <w:rPr>
          <w:rStyle w:val="Hyperlink"/>
          <w:rFonts w:asciiTheme="minorHAnsi" w:hAnsiTheme="minorHAnsi" w:cstheme="minorHAnsi"/>
          <w:sz w:val="20"/>
          <w:szCs w:val="20"/>
          <w:lang w:val="en-GB"/>
        </w:rPr>
        <w:fldChar w:fldCharType="end"/>
      </w:r>
      <w:r w:rsidRPr="005772E4">
        <w:rPr>
          <w:rFonts w:asciiTheme="minorHAnsi" w:hAnsiTheme="minorHAnsi" w:cstheme="minorHAnsi"/>
          <w:color w:val="auto"/>
          <w:sz w:val="20"/>
          <w:szCs w:val="20"/>
          <w:lang w:val="en-GB"/>
        </w:rPr>
        <w:br/>
        <w:t>Revised interpretative declaration on the Stability of electoral law, approved by the Council for Democratic Elections at its 80th meeting (Venice, 20 June 2024) and adopted by the Venice Commission at its 139th Plenary Session (Venice, 21-22 June 2024)</w:t>
      </w:r>
    </w:p>
    <w:p w14:paraId="0E5A8D7C" w14:textId="77777777" w:rsidR="007101A9" w:rsidRDefault="007101A9" w:rsidP="007101A9">
      <w:pPr>
        <w:pStyle w:val="Default"/>
        <w:jc w:val="both"/>
        <w:rPr>
          <w:rFonts w:asciiTheme="minorHAnsi" w:hAnsiTheme="minorHAnsi" w:cstheme="minorHAnsi"/>
          <w:color w:val="auto"/>
          <w:sz w:val="20"/>
          <w:szCs w:val="20"/>
          <w:lang w:val="en-GB"/>
        </w:rPr>
      </w:pPr>
    </w:p>
    <w:p w14:paraId="42F298C0" w14:textId="77777777" w:rsidR="007101A9" w:rsidRDefault="007101A9" w:rsidP="007101A9">
      <w:pPr>
        <w:pStyle w:val="Default"/>
        <w:jc w:val="both"/>
        <w:rPr>
          <w:rFonts w:asciiTheme="minorHAnsi" w:hAnsiTheme="minorHAnsi" w:cstheme="minorHAnsi"/>
          <w:color w:val="auto"/>
          <w:sz w:val="20"/>
          <w:szCs w:val="20"/>
          <w:lang w:val="en-GB"/>
        </w:rPr>
      </w:pPr>
      <w:r>
        <w:fldChar w:fldCharType="begin"/>
      </w:r>
      <w:r w:rsidRPr="0015253B">
        <w:rPr>
          <w:lang w:val="en-GB"/>
          <w:rPrChange w:id="17" w:author="DANIELL Saskia" w:date="2025-01-31T13:04:00Z">
            <w:rPr/>
          </w:rPrChange>
        </w:rPr>
        <w:instrText>HYPERLINK "https://www.venice.coe.int/webforms/documents/default.aspx?pdffile=CDL-AD(2024)016-e"</w:instrText>
      </w:r>
      <w:r>
        <w:fldChar w:fldCharType="separate"/>
      </w:r>
      <w:r w:rsidRPr="00A87A38">
        <w:rPr>
          <w:rStyle w:val="Hyperlink"/>
          <w:rFonts w:asciiTheme="minorHAnsi" w:hAnsiTheme="minorHAnsi" w:cstheme="minorHAnsi"/>
          <w:sz w:val="20"/>
          <w:szCs w:val="20"/>
          <w:lang w:val="en-GB"/>
        </w:rPr>
        <w:t>CDL-</w:t>
      </w:r>
      <w:proofErr w:type="gramStart"/>
      <w:r w:rsidRPr="00A87A38">
        <w:rPr>
          <w:rStyle w:val="Hyperlink"/>
          <w:rFonts w:asciiTheme="minorHAnsi" w:hAnsiTheme="minorHAnsi" w:cstheme="minorHAnsi"/>
          <w:sz w:val="20"/>
          <w:szCs w:val="20"/>
          <w:lang w:val="en-GB"/>
        </w:rPr>
        <w:t>AD(</w:t>
      </w:r>
      <w:proofErr w:type="gramEnd"/>
      <w:r w:rsidRPr="00A87A38">
        <w:rPr>
          <w:rStyle w:val="Hyperlink"/>
          <w:rFonts w:asciiTheme="minorHAnsi" w:hAnsiTheme="minorHAnsi" w:cstheme="minorHAnsi"/>
          <w:sz w:val="20"/>
          <w:szCs w:val="20"/>
          <w:lang w:val="en-GB"/>
        </w:rPr>
        <w:t>2024)016-e</w:t>
      </w:r>
      <w:r>
        <w:rPr>
          <w:rStyle w:val="Hyperlink"/>
          <w:rFonts w:asciiTheme="minorHAnsi" w:hAnsiTheme="minorHAnsi" w:cstheme="minorHAnsi"/>
          <w:sz w:val="20"/>
          <w:szCs w:val="20"/>
          <w:lang w:val="en-GB"/>
        </w:rPr>
        <w:fldChar w:fldCharType="end"/>
      </w:r>
      <w:r w:rsidRPr="00A87A38">
        <w:rPr>
          <w:rFonts w:asciiTheme="minorHAnsi" w:hAnsiTheme="minorHAnsi" w:cstheme="minorHAnsi"/>
          <w:color w:val="auto"/>
          <w:sz w:val="20"/>
          <w:szCs w:val="20"/>
          <w:lang w:val="en-GB"/>
        </w:rPr>
        <w:br/>
        <w:t>Report on the relations between Parliament and the Government: confidence and responsibility, adopted by the Venice Commission at its 139th Plenary Session (Venice, 21-22 June 2024)</w:t>
      </w:r>
    </w:p>
    <w:p w14:paraId="6FDADB42" w14:textId="77777777" w:rsidR="007101A9" w:rsidRDefault="007101A9" w:rsidP="007101A9">
      <w:pPr>
        <w:pStyle w:val="Default"/>
        <w:jc w:val="both"/>
        <w:rPr>
          <w:rFonts w:asciiTheme="minorHAnsi" w:hAnsiTheme="minorHAnsi" w:cstheme="minorHAnsi"/>
          <w:color w:val="auto"/>
          <w:sz w:val="20"/>
          <w:szCs w:val="20"/>
          <w:lang w:val="en-GB"/>
        </w:rPr>
      </w:pPr>
    </w:p>
    <w:p w14:paraId="3A1A6731" w14:textId="77777777" w:rsidR="007101A9" w:rsidRDefault="007101A9" w:rsidP="007101A9">
      <w:pPr>
        <w:pStyle w:val="Default"/>
        <w:jc w:val="both"/>
        <w:rPr>
          <w:rFonts w:asciiTheme="minorHAnsi" w:hAnsiTheme="minorHAnsi" w:cstheme="minorHAnsi"/>
          <w:color w:val="auto"/>
          <w:sz w:val="20"/>
          <w:szCs w:val="20"/>
          <w:lang w:val="en-GB"/>
        </w:rPr>
      </w:pPr>
      <w:r>
        <w:fldChar w:fldCharType="begin"/>
      </w:r>
      <w:r w:rsidRPr="0015253B">
        <w:rPr>
          <w:lang w:val="en-GB"/>
          <w:rPrChange w:id="18" w:author="DANIELL Saskia" w:date="2025-01-31T13:04:00Z">
            <w:rPr/>
          </w:rPrChange>
        </w:rPr>
        <w:instrText>HYPERLINK "https://www.venice.coe.int/webforms/documents/default.aspx?pdffile=CDL-AD(2024)007-e"</w:instrText>
      </w:r>
      <w:r>
        <w:fldChar w:fldCharType="separate"/>
      </w:r>
      <w:r w:rsidRPr="00931B6F">
        <w:rPr>
          <w:rStyle w:val="Hyperlink"/>
          <w:rFonts w:asciiTheme="minorHAnsi" w:hAnsiTheme="minorHAnsi" w:cstheme="minorHAnsi"/>
          <w:sz w:val="20"/>
          <w:szCs w:val="20"/>
          <w:lang w:val="en-GB"/>
        </w:rPr>
        <w:t>CDL-</w:t>
      </w:r>
      <w:proofErr w:type="gramStart"/>
      <w:r w:rsidRPr="00931B6F">
        <w:rPr>
          <w:rStyle w:val="Hyperlink"/>
          <w:rFonts w:asciiTheme="minorHAnsi" w:hAnsiTheme="minorHAnsi" w:cstheme="minorHAnsi"/>
          <w:sz w:val="20"/>
          <w:szCs w:val="20"/>
          <w:lang w:val="en-GB"/>
        </w:rPr>
        <w:t>AD(</w:t>
      </w:r>
      <w:proofErr w:type="gramEnd"/>
      <w:r w:rsidRPr="00931B6F">
        <w:rPr>
          <w:rStyle w:val="Hyperlink"/>
          <w:rFonts w:asciiTheme="minorHAnsi" w:hAnsiTheme="minorHAnsi" w:cstheme="minorHAnsi"/>
          <w:sz w:val="20"/>
          <w:szCs w:val="20"/>
          <w:lang w:val="en-GB"/>
        </w:rPr>
        <w:t>2024)007-e</w:t>
      </w:r>
      <w:r>
        <w:rPr>
          <w:rStyle w:val="Hyperlink"/>
          <w:rFonts w:asciiTheme="minorHAnsi" w:hAnsiTheme="minorHAnsi" w:cstheme="minorHAnsi"/>
          <w:sz w:val="20"/>
          <w:szCs w:val="20"/>
          <w:lang w:val="en-GB"/>
        </w:rPr>
        <w:fldChar w:fldCharType="end"/>
      </w:r>
      <w:r w:rsidRPr="00931B6F">
        <w:rPr>
          <w:rFonts w:asciiTheme="minorHAnsi" w:hAnsiTheme="minorHAnsi" w:cstheme="minorHAnsi"/>
          <w:color w:val="auto"/>
          <w:sz w:val="20"/>
          <w:szCs w:val="20"/>
          <w:lang w:val="en-GB"/>
        </w:rPr>
        <w:br/>
        <w:t>Report on Bicameralism, adopted by the Venice Commission at its 138th Plenary Session (Venice, 15-16 March 2024)</w:t>
      </w:r>
    </w:p>
    <w:p w14:paraId="21F59227" w14:textId="77777777" w:rsidR="007101A9" w:rsidRDefault="007101A9" w:rsidP="007101A9">
      <w:pPr>
        <w:pStyle w:val="Default"/>
        <w:jc w:val="both"/>
        <w:rPr>
          <w:rFonts w:asciiTheme="minorHAnsi" w:hAnsiTheme="minorHAnsi" w:cstheme="minorHAnsi"/>
          <w:color w:val="auto"/>
          <w:sz w:val="20"/>
          <w:szCs w:val="20"/>
          <w:lang w:val="en-GB"/>
        </w:rPr>
      </w:pPr>
    </w:p>
    <w:p w14:paraId="64F4A35B" w14:textId="77777777" w:rsidR="007101A9" w:rsidRDefault="007101A9" w:rsidP="007101A9">
      <w:pPr>
        <w:pStyle w:val="Default"/>
        <w:jc w:val="both"/>
        <w:rPr>
          <w:color w:val="auto"/>
          <w:sz w:val="20"/>
          <w:szCs w:val="20"/>
          <w:lang w:val="en-GB"/>
        </w:rPr>
      </w:pPr>
      <w:r>
        <w:fldChar w:fldCharType="begin"/>
      </w:r>
      <w:r w:rsidRPr="0015253B">
        <w:rPr>
          <w:lang w:val="en-GB"/>
          <w:rPrChange w:id="19" w:author="DANIELL Saskia" w:date="2025-01-31T13:04:00Z">
            <w:rPr/>
          </w:rPrChange>
        </w:rPr>
        <w:instrText>HYPERLINK "https://www.venice.coe.int/webforms/documents/?pdf=CDL-PI(2024)006-e"</w:instrText>
      </w:r>
      <w:r>
        <w:fldChar w:fldCharType="separate"/>
      </w:r>
      <w:r w:rsidRPr="0074460A">
        <w:rPr>
          <w:rStyle w:val="Hyperlink"/>
          <w:sz w:val="20"/>
          <w:szCs w:val="20"/>
          <w:lang w:val="en-GB"/>
        </w:rPr>
        <w:t>CDL-</w:t>
      </w:r>
      <w:proofErr w:type="gramStart"/>
      <w:r w:rsidRPr="0074460A">
        <w:rPr>
          <w:rStyle w:val="Hyperlink"/>
          <w:sz w:val="20"/>
          <w:szCs w:val="20"/>
          <w:lang w:val="en-GB"/>
        </w:rPr>
        <w:t>PI(</w:t>
      </w:r>
      <w:proofErr w:type="gramEnd"/>
      <w:r w:rsidRPr="0074460A">
        <w:rPr>
          <w:rStyle w:val="Hyperlink"/>
          <w:sz w:val="20"/>
          <w:szCs w:val="20"/>
          <w:lang w:val="en-GB"/>
        </w:rPr>
        <w:t>2024)006 </w:t>
      </w:r>
      <w:r>
        <w:rPr>
          <w:rStyle w:val="Hyperlink"/>
          <w:sz w:val="20"/>
          <w:szCs w:val="20"/>
          <w:lang w:val="en-GB"/>
        </w:rPr>
        <w:fldChar w:fldCharType="end"/>
      </w:r>
      <w:r w:rsidRPr="0074460A">
        <w:rPr>
          <w:color w:val="auto"/>
          <w:sz w:val="20"/>
          <w:szCs w:val="20"/>
          <w:lang w:val="en-GB"/>
        </w:rPr>
        <w:br/>
      </w:r>
      <w:r>
        <w:fldChar w:fldCharType="begin"/>
      </w:r>
      <w:r w:rsidRPr="0015253B">
        <w:rPr>
          <w:lang w:val="en-GB"/>
          <w:rPrChange w:id="20" w:author="DANIELL Saskia" w:date="2025-01-31T13:04:00Z">
            <w:rPr/>
          </w:rPrChange>
        </w:rPr>
        <w:instrText>HYPERLINK "https://www.venice.coe.int/webforms/documents/?pdf=CDL-PI(2024)006-e"</w:instrText>
      </w:r>
      <w:r>
        <w:fldChar w:fldCharType="separate"/>
      </w:r>
      <w:r w:rsidRPr="0074460A">
        <w:rPr>
          <w:color w:val="auto"/>
          <w:sz w:val="20"/>
          <w:szCs w:val="20"/>
          <w:lang w:val="en-GB"/>
        </w:rPr>
        <w:t>Compilation of Venice Commission opinion and reports concerning Electoral Training</w:t>
      </w:r>
      <w:r>
        <w:rPr>
          <w:color w:val="auto"/>
          <w:sz w:val="20"/>
          <w:szCs w:val="20"/>
          <w:lang w:val="en-GB"/>
        </w:rPr>
        <w:fldChar w:fldCharType="end"/>
      </w:r>
      <w:r w:rsidRPr="0074460A">
        <w:rPr>
          <w:color w:val="auto"/>
          <w:sz w:val="20"/>
          <w:szCs w:val="20"/>
          <w:lang w:val="en-GB"/>
        </w:rPr>
        <w:t> </w:t>
      </w:r>
    </w:p>
    <w:p w14:paraId="182BB4F3" w14:textId="77777777" w:rsidR="007101A9" w:rsidRDefault="007101A9" w:rsidP="007101A9">
      <w:pPr>
        <w:pStyle w:val="Default"/>
        <w:jc w:val="both"/>
        <w:rPr>
          <w:color w:val="auto"/>
          <w:sz w:val="20"/>
          <w:szCs w:val="20"/>
          <w:lang w:val="en-GB"/>
        </w:rPr>
      </w:pPr>
    </w:p>
    <w:p w14:paraId="5FC98E6A" w14:textId="77777777" w:rsidR="007101A9" w:rsidRPr="0074460A" w:rsidRDefault="00000000" w:rsidP="007101A9">
      <w:pPr>
        <w:pStyle w:val="Default"/>
        <w:jc w:val="both"/>
        <w:rPr>
          <w:color w:val="auto"/>
          <w:sz w:val="20"/>
          <w:szCs w:val="20"/>
          <w:lang w:val="en-GB"/>
        </w:rPr>
      </w:pPr>
      <w:hyperlink r:id="rId14" w:history="1">
        <w:r w:rsidR="007101A9" w:rsidRPr="0074460A">
          <w:rPr>
            <w:rStyle w:val="Hyperlink"/>
            <w:sz w:val="20"/>
            <w:szCs w:val="20"/>
            <w:lang w:val="en-GB"/>
          </w:rPr>
          <w:t>CDL-</w:t>
        </w:r>
        <w:proofErr w:type="gramStart"/>
        <w:r w:rsidR="007101A9" w:rsidRPr="0074460A">
          <w:rPr>
            <w:rStyle w:val="Hyperlink"/>
            <w:sz w:val="20"/>
            <w:szCs w:val="20"/>
            <w:lang w:val="en-GB"/>
          </w:rPr>
          <w:t>PI(</w:t>
        </w:r>
        <w:proofErr w:type="gramEnd"/>
        <w:r w:rsidR="007101A9" w:rsidRPr="0074460A">
          <w:rPr>
            <w:rStyle w:val="Hyperlink"/>
            <w:sz w:val="20"/>
            <w:szCs w:val="20"/>
            <w:lang w:val="en-GB"/>
          </w:rPr>
          <w:t>2024)004</w:t>
        </w:r>
      </w:hyperlink>
    </w:p>
    <w:p w14:paraId="526964EE" w14:textId="77777777" w:rsidR="007101A9" w:rsidRDefault="007101A9" w:rsidP="007101A9">
      <w:pPr>
        <w:pStyle w:val="Default"/>
        <w:jc w:val="both"/>
        <w:rPr>
          <w:color w:val="auto"/>
          <w:sz w:val="20"/>
          <w:szCs w:val="20"/>
          <w:lang w:val="en-GB"/>
        </w:rPr>
      </w:pPr>
      <w:r w:rsidRPr="0074460A">
        <w:rPr>
          <w:color w:val="auto"/>
          <w:sz w:val="20"/>
          <w:szCs w:val="20"/>
          <w:lang w:val="en-GB"/>
        </w:rPr>
        <w:t xml:space="preserve">4th Scientific Electoral </w:t>
      </w:r>
      <w:proofErr w:type="gramStart"/>
      <w:r w:rsidRPr="0074460A">
        <w:rPr>
          <w:color w:val="auto"/>
          <w:sz w:val="20"/>
          <w:szCs w:val="20"/>
          <w:lang w:val="en-GB"/>
        </w:rPr>
        <w:t>experts</w:t>
      </w:r>
      <w:proofErr w:type="gramEnd"/>
      <w:r w:rsidRPr="0074460A">
        <w:rPr>
          <w:color w:val="auto"/>
          <w:sz w:val="20"/>
          <w:szCs w:val="20"/>
          <w:lang w:val="en-GB"/>
        </w:rPr>
        <w:t xml:space="preserve"> debates: The Stability of Electoral Law</w:t>
      </w:r>
    </w:p>
    <w:p w14:paraId="3051D1EF" w14:textId="77777777" w:rsidR="007101A9" w:rsidRDefault="007101A9" w:rsidP="007101A9">
      <w:pPr>
        <w:pStyle w:val="Default"/>
        <w:jc w:val="both"/>
        <w:rPr>
          <w:color w:val="auto"/>
          <w:sz w:val="20"/>
          <w:szCs w:val="20"/>
          <w:lang w:val="en-GB"/>
        </w:rPr>
      </w:pPr>
    </w:p>
    <w:p w14:paraId="4DEF7EA3" w14:textId="77777777" w:rsidR="007101A9" w:rsidRPr="0074460A" w:rsidRDefault="00000000" w:rsidP="007101A9">
      <w:pPr>
        <w:pStyle w:val="Default"/>
        <w:jc w:val="both"/>
        <w:rPr>
          <w:color w:val="auto"/>
          <w:sz w:val="20"/>
          <w:szCs w:val="20"/>
          <w:lang w:val="en-GB"/>
        </w:rPr>
      </w:pPr>
      <w:hyperlink r:id="rId15" w:history="1">
        <w:r w:rsidR="007101A9" w:rsidRPr="0074460A">
          <w:rPr>
            <w:rStyle w:val="Hyperlink"/>
            <w:sz w:val="20"/>
            <w:szCs w:val="20"/>
            <w:lang w:val="en-GB"/>
          </w:rPr>
          <w:t>CDL-</w:t>
        </w:r>
        <w:proofErr w:type="gramStart"/>
        <w:r w:rsidR="007101A9" w:rsidRPr="0074460A">
          <w:rPr>
            <w:rStyle w:val="Hyperlink"/>
            <w:sz w:val="20"/>
            <w:szCs w:val="20"/>
            <w:lang w:val="en-GB"/>
          </w:rPr>
          <w:t>PI(</w:t>
        </w:r>
        <w:proofErr w:type="gramEnd"/>
        <w:r w:rsidR="007101A9" w:rsidRPr="0074460A">
          <w:rPr>
            <w:rStyle w:val="Hyperlink"/>
            <w:sz w:val="20"/>
            <w:szCs w:val="20"/>
            <w:lang w:val="en-GB"/>
          </w:rPr>
          <w:t xml:space="preserve">2024)002 </w:t>
        </w:r>
      </w:hyperlink>
      <w:r w:rsidR="007101A9" w:rsidRPr="0074460A">
        <w:rPr>
          <w:color w:val="auto"/>
          <w:sz w:val="20"/>
          <w:szCs w:val="20"/>
          <w:lang w:val="en-GB"/>
        </w:rPr>
        <w:t xml:space="preserve"> </w:t>
      </w:r>
    </w:p>
    <w:p w14:paraId="77DA119F" w14:textId="77777777" w:rsidR="007101A9" w:rsidRDefault="007101A9" w:rsidP="007101A9">
      <w:pPr>
        <w:pStyle w:val="Default"/>
        <w:jc w:val="both"/>
        <w:rPr>
          <w:color w:val="auto"/>
          <w:sz w:val="20"/>
          <w:szCs w:val="20"/>
          <w:lang w:val="en-GB"/>
        </w:rPr>
      </w:pPr>
      <w:r w:rsidRPr="0074460A">
        <w:rPr>
          <w:color w:val="auto"/>
          <w:sz w:val="20"/>
          <w:szCs w:val="20"/>
          <w:lang w:val="en-GB"/>
        </w:rPr>
        <w:t>Comparative table of constitutional and legislative provisions relating to the amnesty in Venice Commission Member States</w:t>
      </w:r>
    </w:p>
    <w:p w14:paraId="03E2FBDF" w14:textId="77777777" w:rsidR="007101A9" w:rsidRDefault="007101A9" w:rsidP="007101A9">
      <w:pPr>
        <w:pStyle w:val="Default"/>
        <w:jc w:val="both"/>
        <w:rPr>
          <w:color w:val="auto"/>
          <w:sz w:val="20"/>
          <w:szCs w:val="20"/>
          <w:lang w:val="en-GB"/>
        </w:rPr>
      </w:pPr>
    </w:p>
    <w:p w14:paraId="35E55E46" w14:textId="77777777" w:rsidR="007101A9" w:rsidRPr="006D74EC" w:rsidRDefault="00000000" w:rsidP="007101A9">
      <w:pPr>
        <w:pStyle w:val="Default"/>
        <w:jc w:val="both"/>
        <w:rPr>
          <w:color w:val="auto"/>
          <w:sz w:val="20"/>
          <w:szCs w:val="20"/>
          <w:lang w:val="en-GB"/>
        </w:rPr>
      </w:pPr>
      <w:hyperlink r:id="rId16" w:history="1">
        <w:r w:rsidR="007101A9" w:rsidRPr="006D74EC">
          <w:rPr>
            <w:rStyle w:val="Hyperlink"/>
            <w:sz w:val="20"/>
            <w:szCs w:val="20"/>
            <w:lang w:val="en-GB"/>
          </w:rPr>
          <w:t>CDL-</w:t>
        </w:r>
        <w:proofErr w:type="gramStart"/>
        <w:r w:rsidR="007101A9" w:rsidRPr="006D74EC">
          <w:rPr>
            <w:rStyle w:val="Hyperlink"/>
            <w:sz w:val="20"/>
            <w:szCs w:val="20"/>
            <w:lang w:val="en-GB"/>
          </w:rPr>
          <w:t>PI(</w:t>
        </w:r>
        <w:proofErr w:type="gramEnd"/>
        <w:r w:rsidR="007101A9" w:rsidRPr="006D74EC">
          <w:rPr>
            <w:rStyle w:val="Hyperlink"/>
            <w:sz w:val="20"/>
            <w:szCs w:val="20"/>
            <w:lang w:val="en-GB"/>
          </w:rPr>
          <w:t xml:space="preserve">2024)001 </w:t>
        </w:r>
      </w:hyperlink>
    </w:p>
    <w:p w14:paraId="3B5E691D" w14:textId="77777777" w:rsidR="007101A9" w:rsidRPr="0074460A" w:rsidRDefault="007101A9" w:rsidP="007101A9">
      <w:pPr>
        <w:pStyle w:val="Default"/>
        <w:jc w:val="both"/>
        <w:rPr>
          <w:color w:val="auto"/>
          <w:sz w:val="20"/>
          <w:szCs w:val="20"/>
          <w:lang w:val="en-GB"/>
        </w:rPr>
      </w:pPr>
      <w:r w:rsidRPr="006D74EC">
        <w:rPr>
          <w:color w:val="auto"/>
          <w:sz w:val="20"/>
          <w:szCs w:val="20"/>
          <w:lang w:val="en-GB"/>
        </w:rPr>
        <w:t xml:space="preserve">Compilation of Venice Commission opinions and reports concerning bicameralism  </w:t>
      </w:r>
    </w:p>
    <w:p w14:paraId="0E7D5C29" w14:textId="77777777" w:rsidR="007101A9" w:rsidRDefault="007101A9" w:rsidP="00105C7C">
      <w:pPr>
        <w:pStyle w:val="NoSpacing"/>
        <w:jc w:val="both"/>
        <w:rPr>
          <w:rStyle w:val="Hyperlink"/>
          <w:rFonts w:ascii="Calibri" w:hAnsi="Calibri" w:cs="Calibri"/>
          <w:lang w:val="en-GB"/>
        </w:rPr>
      </w:pPr>
    </w:p>
    <w:p w14:paraId="3D1267DA" w14:textId="77777777" w:rsidR="008C70E7" w:rsidRDefault="008C70E7" w:rsidP="00105C7C">
      <w:pPr>
        <w:pStyle w:val="NoSpacing"/>
        <w:jc w:val="both"/>
        <w:rPr>
          <w:rStyle w:val="Hyperlink"/>
          <w:rFonts w:ascii="Calibri" w:hAnsi="Calibri" w:cs="Calibri"/>
          <w:lang w:val="en-GB"/>
        </w:rPr>
      </w:pPr>
    </w:p>
    <w:p w14:paraId="79875C49" w14:textId="77777777" w:rsidR="008C70E7" w:rsidRDefault="008C70E7" w:rsidP="00105C7C">
      <w:pPr>
        <w:pStyle w:val="NoSpacing"/>
        <w:jc w:val="both"/>
        <w:rPr>
          <w:lang w:val="en-GB"/>
        </w:rPr>
      </w:pPr>
    </w:p>
    <w:p w14:paraId="4C3E5A36" w14:textId="77777777" w:rsidR="00561723" w:rsidRDefault="00561723" w:rsidP="00105C7C">
      <w:pPr>
        <w:pStyle w:val="NoSpacing"/>
        <w:jc w:val="both"/>
        <w:rPr>
          <w:lang w:val="en-GB"/>
        </w:rPr>
      </w:pPr>
    </w:p>
    <w:p w14:paraId="1A95BDC8" w14:textId="77777777" w:rsidR="00561723" w:rsidRDefault="00561723" w:rsidP="00105C7C">
      <w:pPr>
        <w:pStyle w:val="NoSpacing"/>
        <w:jc w:val="both"/>
        <w:rPr>
          <w:lang w:val="en-GB"/>
        </w:rPr>
      </w:pPr>
    </w:p>
    <w:p w14:paraId="3D7CD34D" w14:textId="77777777" w:rsidR="00561723" w:rsidRDefault="00561723" w:rsidP="00105C7C">
      <w:pPr>
        <w:pStyle w:val="NoSpacing"/>
        <w:jc w:val="both"/>
        <w:rPr>
          <w:lang w:val="en-GB"/>
        </w:rPr>
      </w:pPr>
    </w:p>
    <w:p w14:paraId="7CA2CE7D" w14:textId="77777777" w:rsidR="008C70E7" w:rsidRDefault="008C70E7" w:rsidP="00105C7C">
      <w:pPr>
        <w:pStyle w:val="NoSpacing"/>
        <w:jc w:val="both"/>
        <w:rPr>
          <w:lang w:val="en-GB"/>
        </w:rPr>
      </w:pPr>
    </w:p>
    <w:p w14:paraId="3DDE7CFA" w14:textId="42B252C1" w:rsidR="003C3BC2" w:rsidRPr="003C3BC2" w:rsidRDefault="008C70E7" w:rsidP="003C3BC2">
      <w:pPr>
        <w:pStyle w:val="NoSpacing"/>
        <w:jc w:val="both"/>
        <w:rPr>
          <w:lang w:val="en-GB"/>
        </w:rPr>
      </w:pPr>
      <w:r w:rsidRPr="0071359D">
        <w:rPr>
          <w:lang w:val="en-GB"/>
        </w:rPr>
        <w:lastRenderedPageBreak/>
        <w:t>The Congress</w:t>
      </w:r>
      <w:r w:rsidR="003C3BC2">
        <w:rPr>
          <w:lang w:val="en-GB"/>
        </w:rPr>
        <w:t xml:space="preserve"> </w:t>
      </w:r>
      <w:r w:rsidR="003C3BC2" w:rsidRPr="003C3BC2">
        <w:rPr>
          <w:lang w:val="en-GB"/>
        </w:rPr>
        <w:fldChar w:fldCharType="begin"/>
      </w:r>
      <w:r w:rsidR="003C3BC2" w:rsidRPr="003C3BC2">
        <w:rPr>
          <w:lang w:val="en-GB"/>
        </w:rPr>
        <w:instrText>HYPERLINK "https://www.coe.int/en/web/congress"</w:instrText>
      </w:r>
      <w:r w:rsidR="003C3BC2" w:rsidRPr="003C3BC2">
        <w:rPr>
          <w:lang w:val="en-GB"/>
        </w:rPr>
      </w:r>
      <w:r w:rsidR="003C3BC2" w:rsidRPr="003C3BC2">
        <w:rPr>
          <w:lang w:val="en-GB"/>
        </w:rPr>
        <w:fldChar w:fldCharType="separate"/>
      </w:r>
      <w:r w:rsidR="003C3BC2" w:rsidRPr="003C3BC2">
        <w:rPr>
          <w:lang w:val="en-GB"/>
        </w:rPr>
        <w:t>of Local and Regional Authorities</w:t>
      </w:r>
    </w:p>
    <w:p w14:paraId="5077B23E" w14:textId="1B6D4F40" w:rsidR="008C70E7" w:rsidRDefault="003C3BC2" w:rsidP="003C3BC2">
      <w:pPr>
        <w:pStyle w:val="NoSpacing"/>
        <w:jc w:val="both"/>
        <w:rPr>
          <w:lang w:val="en-GB"/>
        </w:rPr>
      </w:pPr>
      <w:r w:rsidRPr="003C3BC2">
        <w:rPr>
          <w:lang w:val="en-GB"/>
        </w:rPr>
        <w:fldChar w:fldCharType="end"/>
      </w:r>
    </w:p>
    <w:p w14:paraId="5388E461" w14:textId="77777777" w:rsidR="008C70E7" w:rsidRDefault="008C70E7" w:rsidP="00105C7C">
      <w:pPr>
        <w:pStyle w:val="NoSpacing"/>
        <w:jc w:val="both"/>
        <w:rPr>
          <w:rStyle w:val="Hyperlink"/>
          <w:rFonts w:ascii="Calibri" w:hAnsi="Calibri" w:cs="Calibri"/>
          <w:lang w:val="en-GB"/>
        </w:rPr>
      </w:pPr>
    </w:p>
    <w:p w14:paraId="6AB88D0E" w14:textId="4A6C4A71" w:rsidR="008C70E7" w:rsidRPr="008C70E7" w:rsidRDefault="008C70E7" w:rsidP="008C70E7">
      <w:pPr>
        <w:pStyle w:val="NoSpacing"/>
        <w:jc w:val="both"/>
        <w:rPr>
          <w:rFonts w:ascii="Calibri" w:hAnsi="Calibri" w:cs="Calibri"/>
          <w:color w:val="F49100"/>
          <w:u w:val="single"/>
          <w:lang w:val="en-GB"/>
        </w:rPr>
      </w:pPr>
      <w:r w:rsidRPr="0071359D">
        <w:rPr>
          <w:lang w:val="en-GB"/>
        </w:rPr>
        <w:t>The Congress</w:t>
      </w:r>
      <w:r>
        <w:rPr>
          <w:lang w:val="en-GB"/>
        </w:rPr>
        <w:t xml:space="preserve"> </w:t>
      </w:r>
      <w:r w:rsidRPr="0071359D">
        <w:rPr>
          <w:lang w:val="en-GB"/>
        </w:rPr>
        <w:t xml:space="preserve">was consulted </w:t>
      </w:r>
      <w:r>
        <w:rPr>
          <w:lang w:val="en-GB"/>
        </w:rPr>
        <w:t>in</w:t>
      </w:r>
      <w:r w:rsidRPr="0071359D">
        <w:rPr>
          <w:lang w:val="en-GB"/>
        </w:rPr>
        <w:t xml:space="preserve"> the preparatory process for the </w:t>
      </w:r>
      <w:r>
        <w:rPr>
          <w:lang w:val="en-GB"/>
        </w:rPr>
        <w:t>draft</w:t>
      </w:r>
      <w:r w:rsidRPr="0071359D">
        <w:rPr>
          <w:lang w:val="en-GB"/>
        </w:rPr>
        <w:t xml:space="preserve"> opinion of the European Committee of the Regions' CIVEX Commission on </w:t>
      </w:r>
      <w:r>
        <w:rPr>
          <w:lang w:val="en-GB"/>
        </w:rPr>
        <w:t>‘</w:t>
      </w:r>
      <w:r w:rsidRPr="00DA508F">
        <w:rPr>
          <w:lang w:val="en-GB"/>
        </w:rPr>
        <w:t>The local and regional perspective in the implementation of the Rule of Law in the European Union</w:t>
      </w:r>
      <w:r>
        <w:rPr>
          <w:lang w:val="en-GB"/>
        </w:rPr>
        <w:t>’</w:t>
      </w:r>
      <w:r w:rsidRPr="0071359D">
        <w:rPr>
          <w:lang w:val="en-GB"/>
        </w:rPr>
        <w:t xml:space="preserve">. </w:t>
      </w:r>
      <w:r w:rsidRPr="006A4169">
        <w:rPr>
          <w:lang w:val="en-GB"/>
        </w:rPr>
        <w:t xml:space="preserve">During the exchange, particular emphasis was given to Congress </w:t>
      </w:r>
      <w:hyperlink r:id="rId17" w:history="1">
        <w:r w:rsidRPr="00DA508F">
          <w:rPr>
            <w:rStyle w:val="Hyperlink"/>
            <w:lang w:val="en-GB"/>
          </w:rPr>
          <w:t>Recommendation 502 (2024)</w:t>
        </w:r>
      </w:hyperlink>
      <w:r w:rsidRPr="006A4169">
        <w:rPr>
          <w:lang w:val="en-GB"/>
        </w:rPr>
        <w:t xml:space="preserve">, </w:t>
      </w:r>
      <w:r>
        <w:rPr>
          <w:lang w:val="en-GB"/>
        </w:rPr>
        <w:t>‘</w:t>
      </w:r>
      <w:r w:rsidRPr="00DA508F">
        <w:rPr>
          <w:lang w:val="en-GB"/>
        </w:rPr>
        <w:t>Local and Regional Authorities as Actors and Guarantors of the Rule of Law</w:t>
      </w:r>
      <w:r w:rsidRPr="006A4169">
        <w:rPr>
          <w:lang w:val="en-GB"/>
        </w:rPr>
        <w:t xml:space="preserve">'. The </w:t>
      </w:r>
      <w:r>
        <w:rPr>
          <w:lang w:val="en-GB"/>
        </w:rPr>
        <w:t>Congress</w:t>
      </w:r>
      <w:r w:rsidRPr="006A4169">
        <w:rPr>
          <w:lang w:val="en-GB"/>
        </w:rPr>
        <w:t xml:space="preserve"> </w:t>
      </w:r>
      <w:r>
        <w:rPr>
          <w:lang w:val="en-GB"/>
        </w:rPr>
        <w:t>stressed</w:t>
      </w:r>
      <w:r w:rsidRPr="006A4169">
        <w:rPr>
          <w:lang w:val="en-GB"/>
        </w:rPr>
        <w:t xml:space="preserve"> that local and regional authorities play a key role in upholding and defending the rule of law in their communities</w:t>
      </w:r>
      <w:r>
        <w:rPr>
          <w:lang w:val="en-GB"/>
        </w:rPr>
        <w:t xml:space="preserve">, </w:t>
      </w:r>
      <w:r w:rsidRPr="00DA508F">
        <w:rPr>
          <w:lang w:val="en-GB"/>
        </w:rPr>
        <w:t>should be involved in implementing the judgments of the European Court of Human Rights</w:t>
      </w:r>
      <w:r>
        <w:rPr>
          <w:lang w:val="en-GB"/>
        </w:rPr>
        <w:t xml:space="preserve"> </w:t>
      </w:r>
      <w:r w:rsidRPr="006A4169">
        <w:rPr>
          <w:lang w:val="en-GB"/>
        </w:rPr>
        <w:t xml:space="preserve">and </w:t>
      </w:r>
      <w:r>
        <w:rPr>
          <w:lang w:val="en-GB"/>
        </w:rPr>
        <w:t>are</w:t>
      </w:r>
      <w:r w:rsidRPr="006A4169">
        <w:rPr>
          <w:lang w:val="en-GB"/>
        </w:rPr>
        <w:t xml:space="preserve"> part of the system of checks and balances. Furthermore, the monitoring of the application of the </w:t>
      </w:r>
      <w:hyperlink r:id="rId18" w:history="1">
        <w:r w:rsidRPr="00D14337">
          <w:rPr>
            <w:rStyle w:val="Hyperlink"/>
            <w:lang w:val="en-GB"/>
          </w:rPr>
          <w:t>European Charter of Local Self-Government</w:t>
        </w:r>
      </w:hyperlink>
      <w:r w:rsidRPr="006A4169">
        <w:rPr>
          <w:lang w:val="en-GB"/>
        </w:rPr>
        <w:t xml:space="preserve"> </w:t>
      </w:r>
      <w:r>
        <w:rPr>
          <w:lang w:val="en-GB"/>
        </w:rPr>
        <w:t xml:space="preserve">– setting out standards in local self-government - </w:t>
      </w:r>
      <w:r w:rsidRPr="006A4169">
        <w:rPr>
          <w:lang w:val="en-GB"/>
        </w:rPr>
        <w:t xml:space="preserve">by the Congress </w:t>
      </w:r>
      <w:r>
        <w:rPr>
          <w:lang w:val="en-GB"/>
        </w:rPr>
        <w:t xml:space="preserve">contributes to the </w:t>
      </w:r>
      <w:r w:rsidRPr="006A4169">
        <w:rPr>
          <w:lang w:val="en-GB"/>
        </w:rPr>
        <w:t>strengthen</w:t>
      </w:r>
      <w:r>
        <w:rPr>
          <w:lang w:val="en-GB"/>
        </w:rPr>
        <w:t xml:space="preserve">ing of </w:t>
      </w:r>
      <w:r w:rsidRPr="006A4169">
        <w:rPr>
          <w:lang w:val="en-GB"/>
        </w:rPr>
        <w:t>the rule of law</w:t>
      </w:r>
      <w:r>
        <w:rPr>
          <w:lang w:val="en-GB"/>
        </w:rPr>
        <w:t>. The reports on the</w:t>
      </w:r>
      <w:r w:rsidRPr="006A4169">
        <w:rPr>
          <w:lang w:val="en-GB"/>
        </w:rPr>
        <w:t xml:space="preserve"> monitoring can be considered an early warning system to prevent or address </w:t>
      </w:r>
      <w:r>
        <w:rPr>
          <w:lang w:val="en-GB"/>
        </w:rPr>
        <w:t>possible democratic backsliding</w:t>
      </w:r>
      <w:r w:rsidRPr="006A4169">
        <w:rPr>
          <w:lang w:val="en-GB"/>
        </w:rPr>
        <w:t xml:space="preserve">. </w:t>
      </w:r>
    </w:p>
    <w:p w14:paraId="1CC272BD" w14:textId="77777777" w:rsidR="008C70E7" w:rsidRPr="007101A9" w:rsidRDefault="008C70E7" w:rsidP="00105C7C">
      <w:pPr>
        <w:pStyle w:val="NoSpacing"/>
        <w:jc w:val="both"/>
        <w:rPr>
          <w:rStyle w:val="Hyperlink"/>
          <w:rFonts w:ascii="Calibri" w:hAnsi="Calibri" w:cs="Calibri"/>
          <w:lang w:val="en-GB"/>
        </w:rPr>
      </w:pPr>
    </w:p>
    <w:sectPr w:rsidR="008C70E7" w:rsidRPr="007101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116B"/>
    <w:multiLevelType w:val="hybridMultilevel"/>
    <w:tmpl w:val="240C69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B092BEC"/>
    <w:multiLevelType w:val="hybridMultilevel"/>
    <w:tmpl w:val="150CDDAE"/>
    <w:lvl w:ilvl="0" w:tplc="025A9B3E">
      <w:start w:val="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EA57D2"/>
    <w:multiLevelType w:val="hybridMultilevel"/>
    <w:tmpl w:val="F6F6F6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5D986A42"/>
    <w:multiLevelType w:val="hybridMultilevel"/>
    <w:tmpl w:val="8B0CEE4E"/>
    <w:lvl w:ilvl="0" w:tplc="D59203DA">
      <w:start w:val="1"/>
      <w:numFmt w:val="decimal"/>
      <w:lvlText w:val="%1."/>
      <w:lvlJc w:val="left"/>
      <w:pPr>
        <w:ind w:left="720" w:hanging="360"/>
      </w:pPr>
      <w:rPr>
        <w:rFonts w:ascii="Calibri" w:hAnsi="Calibri" w:cs="Calibri" w:hint="default"/>
        <w:color w:val="000000"/>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4397960"/>
    <w:multiLevelType w:val="hybridMultilevel"/>
    <w:tmpl w:val="240C69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46477714">
    <w:abstractNumId w:val="3"/>
  </w:num>
  <w:num w:numId="2" w16cid:durableId="567544630">
    <w:abstractNumId w:val="1"/>
  </w:num>
  <w:num w:numId="3" w16cid:durableId="1352150347">
    <w:abstractNumId w:val="5"/>
  </w:num>
  <w:num w:numId="4" w16cid:durableId="1334643235">
    <w:abstractNumId w:val="0"/>
  </w:num>
  <w:num w:numId="5" w16cid:durableId="318922244">
    <w:abstractNumId w:val="7"/>
  </w:num>
  <w:num w:numId="6" w16cid:durableId="609239164">
    <w:abstractNumId w:val="3"/>
  </w:num>
  <w:num w:numId="7" w16cid:durableId="261305596">
    <w:abstractNumId w:val="2"/>
  </w:num>
  <w:num w:numId="8" w16cid:durableId="871918773">
    <w:abstractNumId w:val="6"/>
  </w:num>
  <w:num w:numId="9" w16cid:durableId="1046371724">
    <w:abstractNumId w:val="4"/>
  </w:num>
  <w:num w:numId="10" w16cid:durableId="6361053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L Saskia">
    <w15:presenceInfo w15:providerId="AD" w15:userId="S::Saskia.DANIELL@coe.int::af894d89-3540-492a-8228-65f27ca44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C7C"/>
    <w:rsid w:val="000B49CA"/>
    <w:rsid w:val="00105C7C"/>
    <w:rsid w:val="00232D49"/>
    <w:rsid w:val="00376E0D"/>
    <w:rsid w:val="003918A2"/>
    <w:rsid w:val="003B6499"/>
    <w:rsid w:val="003C3BC2"/>
    <w:rsid w:val="003D1303"/>
    <w:rsid w:val="00456381"/>
    <w:rsid w:val="00456E3E"/>
    <w:rsid w:val="00543AEF"/>
    <w:rsid w:val="00561723"/>
    <w:rsid w:val="007101A9"/>
    <w:rsid w:val="0076100D"/>
    <w:rsid w:val="007834AE"/>
    <w:rsid w:val="007F3C3B"/>
    <w:rsid w:val="00855874"/>
    <w:rsid w:val="008C70E7"/>
    <w:rsid w:val="008D53A5"/>
    <w:rsid w:val="00904136"/>
    <w:rsid w:val="009123AD"/>
    <w:rsid w:val="00940C19"/>
    <w:rsid w:val="0096292B"/>
    <w:rsid w:val="00A059EE"/>
    <w:rsid w:val="00A33275"/>
    <w:rsid w:val="00A72C9D"/>
    <w:rsid w:val="00AC3636"/>
    <w:rsid w:val="00AD76CC"/>
    <w:rsid w:val="00B2610B"/>
    <w:rsid w:val="00B56B38"/>
    <w:rsid w:val="00BA5868"/>
    <w:rsid w:val="00C84416"/>
    <w:rsid w:val="00CD24F2"/>
    <w:rsid w:val="00CF19D4"/>
    <w:rsid w:val="00F2307E"/>
    <w:rsid w:val="00FB6A63"/>
    <w:rsid w:val="00FE5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A59BC"/>
  <w15:chartTrackingRefBased/>
  <w15:docId w15:val="{D61DF7AA-D746-4F85-A609-2B7ECF5F5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C7C"/>
    <w:pPr>
      <w:spacing w:after="0" w:line="240" w:lineRule="auto"/>
    </w:pPr>
    <w:rPr>
      <w:rFonts w:eastAsiaTheme="minorEastAsia"/>
      <w:sz w:val="20"/>
      <w:szCs w:val="20"/>
    </w:rPr>
  </w:style>
  <w:style w:type="paragraph" w:styleId="Heading2">
    <w:name w:val="heading 2"/>
    <w:basedOn w:val="Normal"/>
    <w:next w:val="Normal"/>
    <w:link w:val="Heading2Char"/>
    <w:uiPriority w:val="9"/>
    <w:unhideWhenUsed/>
    <w:qFormat/>
    <w:rsid w:val="00105C7C"/>
    <w:pPr>
      <w:keepNext/>
      <w:keepLines/>
      <w:spacing w:before="80"/>
      <w:outlineLvl w:val="1"/>
    </w:pPr>
    <w:rPr>
      <w:rFonts w:asciiTheme="majorHAnsi" w:eastAsiaTheme="majorEastAsia" w:hAnsiTheme="majorHAnsi" w:cstheme="majorBidi"/>
      <w:color w:val="404040" w:themeColor="text1" w:themeTint="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5C7C"/>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105C7C"/>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105C7C"/>
    <w:rPr>
      <w:rFonts w:asciiTheme="majorHAnsi" w:eastAsiaTheme="majorEastAsia" w:hAnsiTheme="majorHAnsi" w:cstheme="majorBidi"/>
      <w:sz w:val="24"/>
      <w:szCs w:val="24"/>
    </w:rPr>
  </w:style>
  <w:style w:type="paragraph" w:styleId="ListParagraph">
    <w:name w:val="List Paragraph"/>
    <w:basedOn w:val="Normal"/>
    <w:link w:val="ListParagraphChar"/>
    <w:uiPriority w:val="34"/>
    <w:qFormat/>
    <w:rsid w:val="00105C7C"/>
    <w:pPr>
      <w:ind w:left="720"/>
      <w:contextualSpacing/>
    </w:pPr>
  </w:style>
  <w:style w:type="character" w:styleId="Hyperlink">
    <w:name w:val="Hyperlink"/>
    <w:uiPriority w:val="99"/>
    <w:unhideWhenUsed/>
    <w:rsid w:val="00105C7C"/>
    <w:rPr>
      <w:color w:val="F49100"/>
      <w:u w:val="single"/>
    </w:rPr>
  </w:style>
  <w:style w:type="character" w:customStyle="1" w:styleId="ListParagraphChar">
    <w:name w:val="List Paragraph Char"/>
    <w:link w:val="ListParagraph"/>
    <w:uiPriority w:val="34"/>
    <w:locked/>
    <w:rsid w:val="00105C7C"/>
    <w:rPr>
      <w:rFonts w:eastAsiaTheme="minorEastAsia"/>
      <w:sz w:val="20"/>
      <w:szCs w:val="20"/>
    </w:rPr>
  </w:style>
  <w:style w:type="paragraph" w:customStyle="1" w:styleId="Default">
    <w:name w:val="Default"/>
    <w:rsid w:val="00105C7C"/>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105C7C"/>
    <w:pPr>
      <w:spacing w:after="0" w:line="240" w:lineRule="auto"/>
    </w:pPr>
    <w:rPr>
      <w:rFonts w:eastAsiaTheme="minorEastAsia"/>
      <w:sz w:val="20"/>
      <w:szCs w:val="20"/>
    </w:rPr>
  </w:style>
  <w:style w:type="paragraph" w:customStyle="1" w:styleId="COEHI">
    <w:name w:val="COE_HI"/>
    <w:basedOn w:val="Normal"/>
    <w:qFormat/>
    <w:rsid w:val="00105C7C"/>
    <w:pPr>
      <w:numPr>
        <w:numId w:val="1"/>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105C7C"/>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105C7C"/>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105C7C"/>
    <w:rPr>
      <w:rFonts w:ascii="Calibri" w:eastAsiaTheme="minorHAnsi" w:hAnsi="Calibri" w:cs="Calibri"/>
      <w:sz w:val="22"/>
      <w:szCs w:val="22"/>
      <w:lang w:eastAsia="fr-FR"/>
    </w:rPr>
  </w:style>
  <w:style w:type="paragraph" w:customStyle="1" w:styleId="xxxxxmsonormal">
    <w:name w:val="x_x_x_x_xmsonormal"/>
    <w:basedOn w:val="Normal"/>
    <w:rsid w:val="00105C7C"/>
    <w:pPr>
      <w:spacing w:before="100" w:beforeAutospacing="1" w:after="100" w:afterAutospacing="1"/>
    </w:pPr>
    <w:rPr>
      <w:rFonts w:ascii="Calibri" w:eastAsiaTheme="minorHAnsi" w:hAnsi="Calibri" w:cs="Calibri"/>
      <w:sz w:val="22"/>
      <w:szCs w:val="22"/>
      <w:lang w:eastAsia="fr-FR"/>
    </w:rPr>
  </w:style>
  <w:style w:type="character" w:customStyle="1" w:styleId="Heading2Char">
    <w:name w:val="Heading 2 Char"/>
    <w:basedOn w:val="DefaultParagraphFont"/>
    <w:link w:val="Heading2"/>
    <w:uiPriority w:val="9"/>
    <w:rsid w:val="00105C7C"/>
    <w:rPr>
      <w:rFonts w:asciiTheme="majorHAnsi" w:eastAsiaTheme="majorEastAsia" w:hAnsiTheme="majorHAnsi" w:cstheme="majorBidi"/>
      <w:color w:val="404040" w:themeColor="text1" w:themeTint="BF"/>
      <w:sz w:val="28"/>
      <w:szCs w:val="28"/>
    </w:rPr>
  </w:style>
  <w:style w:type="character" w:styleId="FollowedHyperlink">
    <w:name w:val="FollowedHyperlink"/>
    <w:basedOn w:val="DefaultParagraphFont"/>
    <w:uiPriority w:val="99"/>
    <w:semiHidden/>
    <w:unhideWhenUsed/>
    <w:rsid w:val="00105C7C"/>
    <w:rPr>
      <w:color w:val="954F72" w:themeColor="followedHyperlink"/>
      <w:u w:val="single"/>
    </w:rPr>
  </w:style>
  <w:style w:type="character" w:styleId="UnresolvedMention">
    <w:name w:val="Unresolved Mention"/>
    <w:basedOn w:val="DefaultParagraphFont"/>
    <w:uiPriority w:val="99"/>
    <w:semiHidden/>
    <w:unhideWhenUsed/>
    <w:rsid w:val="003C3B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222">
      <w:bodyDiv w:val="1"/>
      <w:marLeft w:val="0"/>
      <w:marRight w:val="0"/>
      <w:marTop w:val="0"/>
      <w:marBottom w:val="0"/>
      <w:divBdr>
        <w:top w:val="none" w:sz="0" w:space="0" w:color="auto"/>
        <w:left w:val="none" w:sz="0" w:space="0" w:color="auto"/>
        <w:bottom w:val="none" w:sz="0" w:space="0" w:color="auto"/>
        <w:right w:val="none" w:sz="0" w:space="0" w:color="auto"/>
      </w:divBdr>
      <w:divsChild>
        <w:div w:id="337973650">
          <w:marLeft w:val="0"/>
          <w:marRight w:val="0"/>
          <w:marTop w:val="0"/>
          <w:marBottom w:val="0"/>
          <w:divBdr>
            <w:top w:val="none" w:sz="0" w:space="0" w:color="auto"/>
            <w:left w:val="none" w:sz="0" w:space="0" w:color="auto"/>
            <w:bottom w:val="none" w:sz="0" w:space="0" w:color="auto"/>
            <w:right w:val="none" w:sz="0" w:space="0" w:color="auto"/>
          </w:divBdr>
        </w:div>
      </w:divsChild>
    </w:div>
    <w:div w:id="304969106">
      <w:bodyDiv w:val="1"/>
      <w:marLeft w:val="0"/>
      <w:marRight w:val="0"/>
      <w:marTop w:val="0"/>
      <w:marBottom w:val="0"/>
      <w:divBdr>
        <w:top w:val="none" w:sz="0" w:space="0" w:color="auto"/>
        <w:left w:val="none" w:sz="0" w:space="0" w:color="auto"/>
        <w:bottom w:val="none" w:sz="0" w:space="0" w:color="auto"/>
        <w:right w:val="none" w:sz="0" w:space="0" w:color="auto"/>
      </w:divBdr>
      <w:divsChild>
        <w:div w:id="1008020557">
          <w:marLeft w:val="0"/>
          <w:marRight w:val="0"/>
          <w:marTop w:val="0"/>
          <w:marBottom w:val="0"/>
          <w:divBdr>
            <w:top w:val="none" w:sz="0" w:space="0" w:color="auto"/>
            <w:left w:val="none" w:sz="0" w:space="0" w:color="auto"/>
            <w:bottom w:val="none" w:sz="0" w:space="0" w:color="auto"/>
            <w:right w:val="none" w:sz="0" w:space="0" w:color="auto"/>
          </w:divBdr>
        </w:div>
      </w:divsChild>
    </w:div>
    <w:div w:id="321084318">
      <w:bodyDiv w:val="1"/>
      <w:marLeft w:val="0"/>
      <w:marRight w:val="0"/>
      <w:marTop w:val="0"/>
      <w:marBottom w:val="0"/>
      <w:divBdr>
        <w:top w:val="none" w:sz="0" w:space="0" w:color="auto"/>
        <w:left w:val="none" w:sz="0" w:space="0" w:color="auto"/>
        <w:bottom w:val="none" w:sz="0" w:space="0" w:color="auto"/>
        <w:right w:val="none" w:sz="0" w:space="0" w:color="auto"/>
      </w:divBdr>
    </w:div>
    <w:div w:id="377319765">
      <w:bodyDiv w:val="1"/>
      <w:marLeft w:val="0"/>
      <w:marRight w:val="0"/>
      <w:marTop w:val="0"/>
      <w:marBottom w:val="0"/>
      <w:divBdr>
        <w:top w:val="none" w:sz="0" w:space="0" w:color="auto"/>
        <w:left w:val="none" w:sz="0" w:space="0" w:color="auto"/>
        <w:bottom w:val="none" w:sz="0" w:space="0" w:color="auto"/>
        <w:right w:val="none" w:sz="0" w:space="0" w:color="auto"/>
      </w:divBdr>
    </w:div>
    <w:div w:id="665283427">
      <w:bodyDiv w:val="1"/>
      <w:marLeft w:val="0"/>
      <w:marRight w:val="0"/>
      <w:marTop w:val="0"/>
      <w:marBottom w:val="0"/>
      <w:divBdr>
        <w:top w:val="none" w:sz="0" w:space="0" w:color="auto"/>
        <w:left w:val="none" w:sz="0" w:space="0" w:color="auto"/>
        <w:bottom w:val="none" w:sz="0" w:space="0" w:color="auto"/>
        <w:right w:val="none" w:sz="0" w:space="0" w:color="auto"/>
      </w:divBdr>
    </w:div>
    <w:div w:id="750540777">
      <w:bodyDiv w:val="1"/>
      <w:marLeft w:val="0"/>
      <w:marRight w:val="0"/>
      <w:marTop w:val="0"/>
      <w:marBottom w:val="0"/>
      <w:divBdr>
        <w:top w:val="none" w:sz="0" w:space="0" w:color="auto"/>
        <w:left w:val="none" w:sz="0" w:space="0" w:color="auto"/>
        <w:bottom w:val="none" w:sz="0" w:space="0" w:color="auto"/>
        <w:right w:val="none" w:sz="0" w:space="0" w:color="auto"/>
      </w:divBdr>
    </w:div>
    <w:div w:id="1629356585">
      <w:bodyDiv w:val="1"/>
      <w:marLeft w:val="0"/>
      <w:marRight w:val="0"/>
      <w:marTop w:val="0"/>
      <w:marBottom w:val="0"/>
      <w:divBdr>
        <w:top w:val="none" w:sz="0" w:space="0" w:color="auto"/>
        <w:left w:val="none" w:sz="0" w:space="0" w:color="auto"/>
        <w:bottom w:val="none" w:sz="0" w:space="0" w:color="auto"/>
        <w:right w:val="none" w:sz="0" w:space="0" w:color="auto"/>
      </w:divBdr>
    </w:div>
    <w:div w:id="1694570247">
      <w:bodyDiv w:val="1"/>
      <w:marLeft w:val="0"/>
      <w:marRight w:val="0"/>
      <w:marTop w:val="0"/>
      <w:marBottom w:val="0"/>
      <w:divBdr>
        <w:top w:val="none" w:sz="0" w:space="0" w:color="auto"/>
        <w:left w:val="none" w:sz="0" w:space="0" w:color="auto"/>
        <w:bottom w:val="none" w:sz="0" w:space="0" w:color="auto"/>
        <w:right w:val="none" w:sz="0" w:space="0" w:color="auto"/>
      </w:divBdr>
    </w:div>
    <w:div w:id="171770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m.coe.int/thematic-study-of-the-ccje/1680b2cb04" TargetMode="External"/><Relationship Id="rId13" Type="http://schemas.openxmlformats.org/officeDocument/2006/relationships/hyperlink" Target="https://www.venice.coe.int/webforms/documents/default.aspx?pdffile=CDL-AD(2024)044-e" TargetMode="External"/><Relationship Id="rId18" Type="http://schemas.openxmlformats.org/officeDocument/2006/relationships/hyperlink" Target="https://www.coe.int/en/web/conventions/full-list?module=treaty-detail&amp;treatynum=12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rm.coe.int/opinion-no-27-2024-of-the-ccje/1680b2ca7f" TargetMode="External"/><Relationship Id="rId12" Type="http://schemas.openxmlformats.org/officeDocument/2006/relationships/hyperlink" Target="https://www.venice.coe.int/webforms/documents/default.aspx?pdffile=CDL-AD(2024)039-e" TargetMode="External"/><Relationship Id="rId17" Type="http://schemas.openxmlformats.org/officeDocument/2006/relationships/hyperlink" Target="https://search.coe.int/congress?i=0900001680af14c7" TargetMode="External"/><Relationship Id="rId2" Type="http://schemas.openxmlformats.org/officeDocument/2006/relationships/numbering" Target="numbering.xml"/><Relationship Id="rId16" Type="http://schemas.openxmlformats.org/officeDocument/2006/relationships/hyperlink" Target="https://www.venice.coe.int/webforms/documents/?pdf=CDL-PI(2024)001-e"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venice.coe.int/webforms/documents/default.aspx?pdffile=CDL-PI(2024)034-bil" TargetMode="External"/><Relationship Id="rId5" Type="http://schemas.openxmlformats.org/officeDocument/2006/relationships/webSettings" Target="webSettings.xml"/><Relationship Id="rId15" Type="http://schemas.openxmlformats.org/officeDocument/2006/relationships/hyperlink" Target="https://www.venice.coe.int/webforms/documents/?pdf=CDL-PI(2024)002-bil" TargetMode="External"/><Relationship Id="rId10" Type="http://schemas.openxmlformats.org/officeDocument/2006/relationships/hyperlink" Target="https://rm.coe.int/thematic-study-of-the-ccpe/1680b27b0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m.coe.int/opinion-no-19-2024-of-the-ccpe/1680b25297" TargetMode="External"/><Relationship Id="rId14" Type="http://schemas.openxmlformats.org/officeDocument/2006/relationships/hyperlink" Target="https://www.venice.coe.int/webforms/documents/?pdf=CDL-PI(2024)004-b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0621-87A4-45F6-ACE6-45F11566F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2110</Words>
  <Characters>11605</Characters>
  <Application>Microsoft Office Word</Application>
  <DocSecurity>0</DocSecurity>
  <Lines>96</Lines>
  <Paragraphs>27</Paragraphs>
  <ScaleCrop>false</ScaleCrop>
  <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NEDELJKOVIC</dc:creator>
  <cp:keywords/>
  <dc:description/>
  <cp:lastModifiedBy>PEARD Valerie</cp:lastModifiedBy>
  <cp:revision>13</cp:revision>
  <dcterms:created xsi:type="dcterms:W3CDTF">2025-01-20T14:55:00Z</dcterms:created>
  <dcterms:modified xsi:type="dcterms:W3CDTF">2025-02-04T08:46:00Z</dcterms:modified>
</cp:coreProperties>
</file>